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4FDA2" w14:textId="409A6B07" w:rsidR="00D07C27" w:rsidRPr="00D57B30" w:rsidRDefault="00D57B30" w:rsidP="008246F4">
      <w:pPr>
        <w:pStyle w:val="Heading1"/>
        <w:ind w:right="545"/>
        <w:rPr>
          <w:color w:val="1F4E79" w:themeColor="accent1" w:themeShade="80"/>
        </w:rPr>
      </w:pPr>
      <w:r>
        <w:rPr>
          <w:color w:val="1F4E79" w:themeColor="accent1" w:themeShade="80"/>
        </w:rPr>
        <w:t xml:space="preserve">Point 11 de l’ordre du jour : </w:t>
      </w:r>
      <w:bookmarkStart w:id="0" w:name="_GoBack"/>
      <w:bookmarkEnd w:id="0"/>
      <w:r>
        <w:rPr>
          <w:color w:val="1F4E79" w:themeColor="accent1" w:themeShade="80"/>
        </w:rPr>
        <w:t xml:space="preserve">Réunion avec l’Organisation de soutien aux extensions génériques (GNSO) </w:t>
      </w:r>
    </w:p>
    <w:p w14:paraId="1202E295" w14:textId="77777777" w:rsidR="00F21D6A" w:rsidRPr="00D57B30" w:rsidRDefault="00D57B30" w:rsidP="00982B73">
      <w:pPr>
        <w:pStyle w:val="Heading2"/>
      </w:pPr>
      <w:r>
        <w:t>Problématiques</w:t>
      </w:r>
    </w:p>
    <w:p w14:paraId="75465D53" w14:textId="62EDAA13" w:rsidR="002A35B2" w:rsidRDefault="001A7608" w:rsidP="00A13403">
      <w:pPr>
        <w:spacing w:after="200" w:line="276" w:lineRule="auto"/>
        <w:ind w:right="544"/>
        <w:contextualSpacing/>
        <w:jc w:val="both"/>
        <w:rPr>
          <w:sz w:val="20"/>
          <w:szCs w:val="20"/>
        </w:rPr>
      </w:pPr>
      <w:r>
        <w:rPr>
          <w:sz w:val="20"/>
        </w:rPr>
        <w:t>Les ordres du jour des réunions bilatérales du GAC de ce type ont tendance à changer jusqu’à la dernière minute pour différentes raisons. Toutefois, les questions suivantes sont susceptibles d’être soulevées :</w:t>
      </w:r>
    </w:p>
    <w:p w14:paraId="21A1636A" w14:textId="304F4C1F" w:rsidR="001A63D6" w:rsidRPr="007B5468" w:rsidRDefault="001A63D6" w:rsidP="007B5468">
      <w:pPr>
        <w:pStyle w:val="ListParagraph"/>
        <w:numPr>
          <w:ilvl w:val="0"/>
          <w:numId w:val="5"/>
        </w:numPr>
        <w:spacing w:line="360" w:lineRule="auto"/>
        <w:ind w:right="544"/>
        <w:contextualSpacing/>
        <w:rPr>
          <w:szCs w:val="20"/>
        </w:rPr>
      </w:pPr>
      <w:r>
        <w:t>Introduction au rôle de la GNSO et de son processus d'élaboration de politiques (PDP), incluant les améliorations possibles quant à la façon dont les PDP fonctionnent (PDP 3.0).</w:t>
      </w:r>
    </w:p>
    <w:p w14:paraId="27773071" w14:textId="664A7905" w:rsidR="002A35B2" w:rsidRDefault="001A63D6" w:rsidP="00A5021B">
      <w:pPr>
        <w:pStyle w:val="ListParagraph"/>
        <w:numPr>
          <w:ilvl w:val="0"/>
          <w:numId w:val="5"/>
        </w:numPr>
        <w:spacing w:line="360" w:lineRule="auto"/>
        <w:ind w:right="544"/>
        <w:contextualSpacing/>
        <w:rPr>
          <w:szCs w:val="20"/>
        </w:rPr>
      </w:pPr>
      <w:r>
        <w:t>Prochaines étapes à propos de la spécification temporaire de l’ICANN pour la conformité avec le RGPD.</w:t>
      </w:r>
    </w:p>
    <w:p w14:paraId="06688F3A" w14:textId="58ABE6DB" w:rsidR="002A35B2" w:rsidRDefault="00C14EF2" w:rsidP="00A5021B">
      <w:pPr>
        <w:pStyle w:val="ListParagraph"/>
        <w:numPr>
          <w:ilvl w:val="0"/>
          <w:numId w:val="5"/>
        </w:numPr>
        <w:spacing w:line="360" w:lineRule="auto"/>
        <w:ind w:right="544"/>
        <w:contextualSpacing/>
        <w:rPr>
          <w:szCs w:val="20"/>
        </w:rPr>
      </w:pPr>
      <w:r>
        <w:t>PDP de la GNSO relatif aux procédures pour des séries ultérieures de nouveaux gTLD : L'avancée des pistes de travail 1 à 4 et de la piste de travail 5.</w:t>
      </w:r>
    </w:p>
    <w:p w14:paraId="7A2AE7FC" w14:textId="45BCFB71" w:rsidR="00C14EF2" w:rsidRDefault="00C14EF2" w:rsidP="00C14EF2">
      <w:pPr>
        <w:pStyle w:val="Heading2"/>
      </w:pPr>
      <w:r>
        <w:t>Action requise de la part du GAC</w:t>
      </w:r>
    </w:p>
    <w:p w14:paraId="68CBC247" w14:textId="77777777" w:rsidR="007B5468" w:rsidRPr="007B5468" w:rsidRDefault="001A63D6" w:rsidP="001A63D6">
      <w:pPr>
        <w:pStyle w:val="ListParagraph"/>
        <w:numPr>
          <w:ilvl w:val="0"/>
          <w:numId w:val="6"/>
        </w:numPr>
        <w:spacing w:line="360" w:lineRule="auto"/>
        <w:ind w:right="544"/>
        <w:contextualSpacing/>
        <w:rPr>
          <w:b/>
          <w:color w:val="2E74B5" w:themeColor="accent1" w:themeShade="BF"/>
          <w:szCs w:val="20"/>
        </w:rPr>
      </w:pPr>
      <w:r>
        <w:rPr>
          <w:b/>
          <w:color w:val="2E74B5" w:themeColor="accent1" w:themeShade="BF"/>
        </w:rPr>
        <w:t>Introduction au rôle de la GNSO et de ses PDP</w:t>
      </w:r>
    </w:p>
    <w:p w14:paraId="5AD9238C" w14:textId="7828F646" w:rsidR="001A63D6" w:rsidRDefault="001A63D6" w:rsidP="007B5468">
      <w:pPr>
        <w:spacing w:line="360" w:lineRule="auto"/>
        <w:ind w:right="544"/>
        <w:contextualSpacing/>
        <w:rPr>
          <w:sz w:val="20"/>
          <w:szCs w:val="20"/>
        </w:rPr>
      </w:pPr>
      <w:r>
        <w:rPr>
          <w:sz w:val="20"/>
        </w:rPr>
        <w:t>Les membres du GAC, en particulier ceux qui sont moins expérimentés dans le modèle multipartite de l’ICANN, peuvent vouloir prendre note des informations sur leur rôle prévu par la GNSO et demander des précisions pour en discuter plus tard.</w:t>
      </w:r>
    </w:p>
    <w:p w14:paraId="0BD52C20" w14:textId="77777777" w:rsidR="007B5468" w:rsidRDefault="007B5468" w:rsidP="007B5468">
      <w:pPr>
        <w:pStyle w:val="BodyText"/>
      </w:pPr>
      <w:r>
        <w:t>Récemment, le GAC a été informé (pièce jointe A) sur un  document de travail interne « PDP 3.0 » visant à améliorer l’efficience et l’efficacité des groupes de travail du PDP de la GNSO. . L’agent de liaison de la GNSO auprès du GAC a confirmé que les commentaires du GAC sur la question seraient souhaitables.</w:t>
      </w:r>
    </w:p>
    <w:p w14:paraId="0C0A8A04" w14:textId="77777777" w:rsidR="007B5468" w:rsidRDefault="007B5468" w:rsidP="007B5468">
      <w:pPr>
        <w:pStyle w:val="BodyText"/>
      </w:pPr>
      <w:r>
        <w:t>Le GAC peut vouloir demander aux membres du conseil de la GNSO leur opinion sur ce qui suit :</w:t>
      </w:r>
    </w:p>
    <w:p w14:paraId="0B5D6C63" w14:textId="77777777" w:rsidR="007B5468" w:rsidRDefault="007B5468" w:rsidP="007B5468">
      <w:pPr>
        <w:pStyle w:val="ListParagraph"/>
        <w:widowControl w:val="0"/>
        <w:numPr>
          <w:ilvl w:val="0"/>
          <w:numId w:val="8"/>
        </w:numPr>
        <w:autoSpaceDE w:val="0"/>
        <w:autoSpaceDN w:val="0"/>
        <w:adjustRightInd w:val="0"/>
        <w:ind w:right="545"/>
        <w:rPr>
          <w:rFonts w:cs="Century Gothic"/>
          <w:szCs w:val="20"/>
        </w:rPr>
      </w:pPr>
      <w:r>
        <w:t>Compte tenu des interdépendances du travail de l’ICANN, il serait utile que les discussions sur les questions soulevées dans le document soient ouvertes à tous les membres de la communauté.</w:t>
      </w:r>
    </w:p>
    <w:p w14:paraId="1A13B688" w14:textId="77777777" w:rsidR="007B5468" w:rsidRDefault="007B5468" w:rsidP="007B5468">
      <w:pPr>
        <w:pStyle w:val="ListParagraph"/>
        <w:widowControl w:val="0"/>
        <w:numPr>
          <w:ilvl w:val="0"/>
          <w:numId w:val="8"/>
        </w:numPr>
        <w:autoSpaceDE w:val="0"/>
        <w:autoSpaceDN w:val="0"/>
        <w:adjustRightInd w:val="0"/>
        <w:ind w:right="545"/>
        <w:rPr>
          <w:rFonts w:cs="Century Gothic"/>
          <w:szCs w:val="20"/>
        </w:rPr>
      </w:pPr>
      <w:r>
        <w:t>L’organisation de groupes de travail sur le PDP portant sur le modèle du CCWG avec les membres désignés des SO et AC pertinents et d’autres qui participent à titre individuel (recommandation 2), encouragerait : (a) l’amélioration de la reddition de comptes, l’efficacité et la transparence ; (b) un véritable point de vue de l’ensemble de la communauté au sein des PDP ; et (c) des décisions plus éclairées et l’engagement du GAC avec les PDP.</w:t>
      </w:r>
    </w:p>
    <w:p w14:paraId="014E4B76" w14:textId="77777777" w:rsidR="007B5468" w:rsidRDefault="007B5468" w:rsidP="007B5468">
      <w:pPr>
        <w:pStyle w:val="ListParagraph"/>
        <w:widowControl w:val="0"/>
        <w:numPr>
          <w:ilvl w:val="0"/>
          <w:numId w:val="9"/>
        </w:numPr>
        <w:autoSpaceDE w:val="0"/>
        <w:autoSpaceDN w:val="0"/>
        <w:adjustRightInd w:val="0"/>
        <w:ind w:right="545"/>
        <w:rPr>
          <w:rFonts w:cs="Century Gothic"/>
          <w:szCs w:val="20"/>
        </w:rPr>
      </w:pPr>
      <w:r>
        <w:t>En fait, certains membres du GAC considèrent que cette recommandation est une condition préalable pour relever les nombreux défis identifiés (qualité des discussions, construction d’un consensus), car elle permet à un groupe d’évaluer le niveau de soutien à certaines positions dans l’ensemble de la communauté par opposition à ceux qui simplement se connectent aux appels.</w:t>
      </w:r>
    </w:p>
    <w:p w14:paraId="1AC2A376" w14:textId="6C2E154E" w:rsidR="007B5468" w:rsidRDefault="007B5468" w:rsidP="007B5468">
      <w:pPr>
        <w:pStyle w:val="ListParagraph"/>
        <w:widowControl w:val="0"/>
        <w:numPr>
          <w:ilvl w:val="0"/>
          <w:numId w:val="8"/>
        </w:numPr>
        <w:autoSpaceDE w:val="0"/>
        <w:autoSpaceDN w:val="0"/>
        <w:adjustRightInd w:val="0"/>
        <w:ind w:right="545"/>
        <w:rPr>
          <w:rFonts w:cs="Century Gothic"/>
          <w:szCs w:val="20"/>
        </w:rPr>
      </w:pPr>
      <w:r>
        <w:t xml:space="preserve">Les mesures proposées dans le document pour une meilleure formation et des </w:t>
      </w:r>
      <w:r>
        <w:lastRenderedPageBreak/>
        <w:t>ressources pour les dirigeants et les participants au groupe de travail sont utiles et raisonnables, et pourraient s’appuyer sur le très bon soutien déjà offert par le personnel de la GNSO.</w:t>
      </w:r>
    </w:p>
    <w:p w14:paraId="3EF4507D" w14:textId="35E4DF78" w:rsidR="007B5468" w:rsidRDefault="007B5468" w:rsidP="007B5468">
      <w:pPr>
        <w:widowControl w:val="0"/>
        <w:autoSpaceDE w:val="0"/>
        <w:autoSpaceDN w:val="0"/>
        <w:adjustRightInd w:val="0"/>
        <w:ind w:right="545"/>
        <w:rPr>
          <w:rFonts w:cs="Century Gothic"/>
          <w:szCs w:val="20"/>
        </w:rPr>
      </w:pPr>
    </w:p>
    <w:p w14:paraId="285DBEF5" w14:textId="2F7397F8" w:rsidR="007B5468" w:rsidRDefault="007B5468" w:rsidP="007B5468">
      <w:pPr>
        <w:widowControl w:val="0"/>
        <w:autoSpaceDE w:val="0"/>
        <w:autoSpaceDN w:val="0"/>
        <w:adjustRightInd w:val="0"/>
        <w:ind w:right="545"/>
        <w:rPr>
          <w:rFonts w:cs="Century Gothic"/>
          <w:szCs w:val="20"/>
        </w:rPr>
      </w:pPr>
    </w:p>
    <w:p w14:paraId="0099CC34" w14:textId="77777777" w:rsidR="007B5468" w:rsidRPr="007B5468" w:rsidRDefault="007B5468" w:rsidP="007B5468">
      <w:pPr>
        <w:widowControl w:val="0"/>
        <w:autoSpaceDE w:val="0"/>
        <w:autoSpaceDN w:val="0"/>
        <w:adjustRightInd w:val="0"/>
        <w:ind w:right="545"/>
        <w:rPr>
          <w:rFonts w:cs="Century Gothic"/>
          <w:szCs w:val="20"/>
        </w:rPr>
      </w:pPr>
    </w:p>
    <w:p w14:paraId="4B67EEEB" w14:textId="6A5341D9" w:rsidR="00C14EF2" w:rsidRPr="007B5468" w:rsidRDefault="001A63D6" w:rsidP="001A63D6">
      <w:pPr>
        <w:pStyle w:val="ListParagraph"/>
        <w:numPr>
          <w:ilvl w:val="0"/>
          <w:numId w:val="6"/>
        </w:numPr>
        <w:spacing w:line="360" w:lineRule="auto"/>
        <w:ind w:right="544"/>
        <w:contextualSpacing/>
        <w:rPr>
          <w:b/>
          <w:color w:val="2E74B5" w:themeColor="accent1" w:themeShade="BF"/>
          <w:szCs w:val="20"/>
        </w:rPr>
      </w:pPr>
      <w:r>
        <w:rPr>
          <w:b/>
          <w:color w:val="2E74B5" w:themeColor="accent1" w:themeShade="BF"/>
        </w:rPr>
        <w:t>Prochaines étapes à propos de la spécification temporaire de l’ICANN pour la conformité avec le RGPD.</w:t>
      </w:r>
    </w:p>
    <w:p w14:paraId="1CF693AB" w14:textId="15DA5D6D" w:rsidR="00E366DB" w:rsidRDefault="001A63D6" w:rsidP="00E366DB">
      <w:pPr>
        <w:pStyle w:val="BodyText"/>
      </w:pPr>
      <w:r>
        <w:t xml:space="preserve">Le conseil de la GNSO examine des options pour fournir un cadre politique à long terme pour les questions couvertes par la </w:t>
      </w:r>
      <w:hyperlink r:id="rId8">
        <w:r>
          <w:rPr>
            <w:rStyle w:val="Hyperlink"/>
          </w:rPr>
          <w:t>spécification temporaire de l’ICANN pour les données d’enregistrement des gTLD</w:t>
        </w:r>
      </w:hyperlink>
      <w:r>
        <w:t>. L’option la plus probable est une procédure accélérée d’élaboration de politiques (EPDP). Cette option est appuyée par le Conseil d’administration de l’ICANN comme le processus politique approprié en vertu des statuts constitutifs de l’ICANN. Au moment de la préparation de ce document, la GNSO n’avait pas officiellement lancé l’EPDP, ni déterminé si et comment d’autres SO et AC pourraient y participer.</w:t>
      </w:r>
    </w:p>
    <w:p w14:paraId="228B1A72" w14:textId="5AFB17C3" w:rsidR="005E361F" w:rsidRDefault="005736A1" w:rsidP="005E361F">
      <w:pPr>
        <w:pStyle w:val="BodyText"/>
      </w:pPr>
      <w:r>
        <w:t>Cette information sera mise à jour plus près de la date de la  réunion, car elle fait l’objet de discussions continues au sein de différentes parties.</w:t>
      </w:r>
    </w:p>
    <w:p w14:paraId="6E57DFC5" w14:textId="6022CBA8" w:rsidR="00C14EF2" w:rsidRPr="00984595" w:rsidRDefault="005736A1" w:rsidP="00A5021B">
      <w:pPr>
        <w:pStyle w:val="BodyText"/>
        <w:numPr>
          <w:ilvl w:val="0"/>
          <w:numId w:val="6"/>
        </w:numPr>
        <w:rPr>
          <w:b/>
          <w:color w:val="2E74B5" w:themeColor="accent1" w:themeShade="BF"/>
        </w:rPr>
      </w:pPr>
      <w:r>
        <w:rPr>
          <w:b/>
          <w:color w:val="2E74B5" w:themeColor="accent1" w:themeShade="BF"/>
        </w:rPr>
        <w:t>PDP de la GNSO relatif aux procédures pour des séries ultérieures de nouveaux gTLD : L'avancée des pistes de travail 1 à 4 et de la piste de travail 5.</w:t>
      </w:r>
    </w:p>
    <w:p w14:paraId="3A35C85C" w14:textId="5C480061" w:rsidR="00593EF7" w:rsidRDefault="00593EF7" w:rsidP="00593EF7">
      <w:pPr>
        <w:pStyle w:val="BodyText"/>
      </w:pPr>
      <w:r>
        <w:t>Voir le document d’information séparé au point 6 de l’ordre du jour.</w:t>
      </w:r>
    </w:p>
    <w:p w14:paraId="1F417124" w14:textId="37AFFC41" w:rsidR="005E361F" w:rsidRDefault="005E361F" w:rsidP="005E361F">
      <w:pPr>
        <w:pStyle w:val="BodyText"/>
      </w:pPr>
      <w:r>
        <w:t>Le GAC peut vouloir demander aux membres du conseil de la GNSO :</w:t>
      </w:r>
    </w:p>
    <w:p w14:paraId="2C9E41F4" w14:textId="0A8D93D4" w:rsidR="005E361F" w:rsidRDefault="005E361F" w:rsidP="00A5021B">
      <w:pPr>
        <w:pStyle w:val="BodyText"/>
        <w:numPr>
          <w:ilvl w:val="0"/>
          <w:numId w:val="7"/>
        </w:numPr>
      </w:pPr>
      <w:r>
        <w:t>Est-ce qu’ils ont une opinion sur un lien quelconque entre le calendrier de ce PDP et le lancement d’une série de nouveaux gTLD par l’ICANN ?</w:t>
      </w:r>
    </w:p>
    <w:p w14:paraId="1105D40B" w14:textId="12537CF7" w:rsidR="00593EF7" w:rsidRPr="00593EF7" w:rsidRDefault="005E361F" w:rsidP="00A5021B">
      <w:pPr>
        <w:pStyle w:val="BodyText"/>
        <w:numPr>
          <w:ilvl w:val="0"/>
          <w:numId w:val="7"/>
        </w:numPr>
      </w:pPr>
      <w:r>
        <w:t>Si la piste de travail 5 (noms géographiques) menait ses séances de travail comme des séances intercommunautaires ouvertes, cela pourrait-il être considéré comme un test de ce format pour les prochaines réunions ?</w:t>
      </w:r>
    </w:p>
    <w:p w14:paraId="10D6AD3B" w14:textId="70DA2836" w:rsidR="00406CEE" w:rsidRPr="00984595" w:rsidRDefault="00C14EF2" w:rsidP="00982B73">
      <w:pPr>
        <w:pStyle w:val="Heading2"/>
        <w:rPr>
          <w:sz w:val="20"/>
          <w:szCs w:val="20"/>
        </w:rPr>
      </w:pPr>
      <w:r>
        <w:rPr>
          <w:sz w:val="20"/>
        </w:rPr>
        <w:t>Position actuelle</w:t>
      </w:r>
    </w:p>
    <w:p w14:paraId="31452662" w14:textId="6DCB7F6F" w:rsidR="00982B73" w:rsidRDefault="00982B73" w:rsidP="00982B73">
      <w:pPr>
        <w:pStyle w:val="BodyText"/>
        <w:ind w:right="545"/>
      </w:pPr>
      <w:r>
        <w:t xml:space="preserve">Normalement, le GAC se réunit avec le président et d’autres membres du conseil de la </w:t>
      </w:r>
      <w:hyperlink r:id="rId9">
        <w:r>
          <w:rPr>
            <w:rStyle w:val="Hyperlink"/>
          </w:rPr>
          <w:t>GNSO</w:t>
        </w:r>
      </w:hyperlink>
      <w:r>
        <w:t xml:space="preserve"> (Organisation de soutien aux extensions génériques) lors de chaque réunion de l’ICANN afin de discuter de questions d’intérêt commun et d’identifier des méthodes pour une meilleure coopération.  La présidente actuelle du conseil de la GNSO est Mme Heather Forrest.  Les vice-présidents sont Mme Donna Austin et M Rafik Dammak.</w:t>
      </w:r>
    </w:p>
    <w:p w14:paraId="32E4BF3C" w14:textId="5903EC9E" w:rsidR="00A87101" w:rsidRDefault="00A87101" w:rsidP="00982B73">
      <w:pPr>
        <w:pStyle w:val="BodyText"/>
        <w:ind w:right="545"/>
      </w:pPr>
      <w:r>
        <w:t xml:space="preserve">L’agent de liaison de la GNSO auprès du GAC est M Johan (Julf) Helsingius. </w:t>
      </w:r>
    </w:p>
    <w:p w14:paraId="44DE4B61" w14:textId="77777777" w:rsidR="00982B73" w:rsidRDefault="00982B73" w:rsidP="00982B73">
      <w:pPr>
        <w:pStyle w:val="BodyText"/>
        <w:ind w:right="545"/>
      </w:pPr>
      <w:r>
        <w:t xml:space="preserve">La GNSO est une des organisations de soutien les plus importantes dans le cadre de l’ICANN.  Elle élabore et révise les politiques pour les gTLD (par exemple .com, .org, .hotel). De plus amples renseignements sur la GNSO et son processus d’élaboration de politiques sont disponibles sur </w:t>
      </w:r>
      <w:hyperlink r:id="rId10">
        <w:r>
          <w:rPr>
            <w:rStyle w:val="Hyperlink"/>
          </w:rPr>
          <w:t>http://gnso.icann.org/en/about</w:t>
        </w:r>
      </w:hyperlink>
      <w:r>
        <w:t xml:space="preserve">. </w:t>
      </w:r>
    </w:p>
    <w:p w14:paraId="740A9242" w14:textId="5D3A8BE8" w:rsidR="00076811" w:rsidRPr="00A13403" w:rsidRDefault="00982B73" w:rsidP="00982B73">
      <w:pPr>
        <w:pStyle w:val="BodyText"/>
        <w:ind w:right="545"/>
      </w:pPr>
      <w:r>
        <w:t xml:space="preserve">La GNSO est une « fédération » de différents groupes de parties prenantes.  Elle se compose de deux « chambres » : une pour les parties contractantes de l’ICANN (opérateurs de registre </w:t>
      </w:r>
      <w:r>
        <w:lastRenderedPageBreak/>
        <w:t xml:space="preserve">et bureaux d’enregistrement) et une pour les autres parties (les utilisateurs commerciaux et d’affaires, la propriété intellectuelle, les fournisseurs de services Internet et les représentants des entités non commerciales). </w:t>
      </w:r>
    </w:p>
    <w:p w14:paraId="04C07B0D" w14:textId="4C3CCD00" w:rsidR="00406CEE" w:rsidRDefault="00076811" w:rsidP="00982B73">
      <w:pPr>
        <w:pStyle w:val="Heading2"/>
      </w:pPr>
      <w:r>
        <w:t>Informations complémentaires</w:t>
      </w:r>
    </w:p>
    <w:p w14:paraId="5499DB39" w14:textId="295F586C" w:rsidR="00076811" w:rsidRDefault="00E35101" w:rsidP="00AF4D4A">
      <w:pPr>
        <w:pStyle w:val="BodyText"/>
        <w:ind w:right="544"/>
      </w:pPr>
      <w:hyperlink r:id="rId11">
        <w:r w:rsidR="008E434C">
          <w:rPr>
            <w:rStyle w:val="Hyperlink"/>
          </w:rPr>
          <w:t>Site Web de la GNSO</w:t>
        </w:r>
      </w:hyperlink>
    </w:p>
    <w:p w14:paraId="7A47C443" w14:textId="05D26D32" w:rsidR="00D65E34" w:rsidRDefault="00E35101" w:rsidP="00A87101">
      <w:pPr>
        <w:pStyle w:val="BodyText"/>
        <w:ind w:right="544"/>
      </w:pPr>
      <w:hyperlink r:id="rId12">
        <w:r w:rsidR="008E434C">
          <w:rPr>
            <w:rStyle w:val="Hyperlink"/>
          </w:rPr>
          <w:t>Archive public des e-mails du conseil de la GNSO</w:t>
        </w:r>
      </w:hyperlink>
    </w:p>
    <w:p w14:paraId="2125180A" w14:textId="77777777" w:rsidR="007B5468" w:rsidRDefault="007B5468" w:rsidP="00F85F5F">
      <w:pPr>
        <w:pStyle w:val="Heading2"/>
      </w:pPr>
      <w:bookmarkStart w:id="1" w:name="_Hlk484433727"/>
    </w:p>
    <w:p w14:paraId="1384AAB8" w14:textId="77777777" w:rsidR="007B5468" w:rsidRDefault="007B5468" w:rsidP="00F85F5F">
      <w:pPr>
        <w:pStyle w:val="Heading2"/>
      </w:pPr>
    </w:p>
    <w:p w14:paraId="0F44955C" w14:textId="638F8240" w:rsidR="00F85F5F" w:rsidRDefault="00F85F5F" w:rsidP="00F85F5F">
      <w:pPr>
        <w:pStyle w:val="Heading2"/>
      </w:pPr>
      <w:r>
        <w:t>Gestion des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F85F5F" w:rsidRPr="003F43E3" w14:paraId="5E017AE1" w14:textId="77777777" w:rsidTr="00D27E64">
        <w:tc>
          <w:tcPr>
            <w:tcW w:w="3261" w:type="dxa"/>
            <w:vAlign w:val="center"/>
          </w:tcPr>
          <w:p w14:paraId="55229821" w14:textId="77777777" w:rsidR="00F85F5F" w:rsidRPr="003F43E3" w:rsidRDefault="00F85F5F" w:rsidP="00D27E64">
            <w:pPr>
              <w:ind w:right="-132"/>
              <w:rPr>
                <w:b/>
                <w:sz w:val="20"/>
                <w:szCs w:val="20"/>
              </w:rPr>
            </w:pPr>
            <w:r>
              <w:rPr>
                <w:b/>
                <w:sz w:val="20"/>
              </w:rPr>
              <w:t>Titre</w:t>
            </w:r>
          </w:p>
        </w:tc>
        <w:tc>
          <w:tcPr>
            <w:tcW w:w="5811" w:type="dxa"/>
            <w:vAlign w:val="center"/>
          </w:tcPr>
          <w:p w14:paraId="2B32FC30" w14:textId="3D712458" w:rsidR="00F85F5F" w:rsidRPr="00EA3A02" w:rsidRDefault="00F85F5F" w:rsidP="00D27E64">
            <w:pPr>
              <w:ind w:right="545"/>
              <w:rPr>
                <w:sz w:val="20"/>
                <w:szCs w:val="20"/>
              </w:rPr>
            </w:pPr>
            <w:r>
              <w:rPr>
                <w:sz w:val="20"/>
              </w:rPr>
              <w:t>Réunion avec l’Organisation de soutien aux extensions génériques (GNSO)</w:t>
            </w:r>
          </w:p>
        </w:tc>
      </w:tr>
      <w:tr w:rsidR="00F85F5F" w:rsidRPr="003F43E3" w14:paraId="1FA7A40C" w14:textId="77777777" w:rsidTr="00D27E64">
        <w:tc>
          <w:tcPr>
            <w:tcW w:w="3261" w:type="dxa"/>
            <w:vAlign w:val="center"/>
          </w:tcPr>
          <w:p w14:paraId="67C5478D" w14:textId="77777777" w:rsidR="00F85F5F" w:rsidRPr="003F43E3" w:rsidRDefault="00F85F5F" w:rsidP="00D27E64">
            <w:pPr>
              <w:ind w:right="-132"/>
              <w:rPr>
                <w:b/>
                <w:sz w:val="20"/>
                <w:szCs w:val="20"/>
              </w:rPr>
            </w:pPr>
            <w:r>
              <w:rPr>
                <w:b/>
                <w:sz w:val="20"/>
              </w:rPr>
              <w:t>Distribution</w:t>
            </w:r>
          </w:p>
        </w:tc>
        <w:tc>
          <w:tcPr>
            <w:tcW w:w="5811" w:type="dxa"/>
            <w:vAlign w:val="center"/>
          </w:tcPr>
          <w:p w14:paraId="1656EBFA" w14:textId="77777777" w:rsidR="00F85F5F" w:rsidRPr="003F43E3" w:rsidRDefault="00F85F5F" w:rsidP="00D27E64">
            <w:pPr>
              <w:ind w:right="545"/>
              <w:rPr>
                <w:sz w:val="20"/>
                <w:szCs w:val="20"/>
              </w:rPr>
            </w:pPr>
            <w:r>
              <w:rPr>
                <w:sz w:val="20"/>
              </w:rPr>
              <w:t>Membres du GAC</w:t>
            </w:r>
          </w:p>
        </w:tc>
      </w:tr>
      <w:tr w:rsidR="00A87101" w:rsidRPr="003F43E3" w14:paraId="0242B373" w14:textId="77777777" w:rsidTr="00D27E64">
        <w:tc>
          <w:tcPr>
            <w:tcW w:w="3261" w:type="dxa"/>
            <w:vAlign w:val="center"/>
          </w:tcPr>
          <w:p w14:paraId="738FD29E" w14:textId="151554DE" w:rsidR="00A87101" w:rsidRPr="003F43E3" w:rsidRDefault="00A87101" w:rsidP="00D27E64">
            <w:pPr>
              <w:ind w:right="-132"/>
              <w:rPr>
                <w:b/>
                <w:sz w:val="20"/>
                <w:szCs w:val="20"/>
              </w:rPr>
            </w:pPr>
            <w:r>
              <w:rPr>
                <w:b/>
                <w:sz w:val="20"/>
              </w:rPr>
              <w:t>Date de distribution</w:t>
            </w:r>
          </w:p>
        </w:tc>
        <w:tc>
          <w:tcPr>
            <w:tcW w:w="5811" w:type="dxa"/>
            <w:vAlign w:val="center"/>
          </w:tcPr>
          <w:p w14:paraId="4D2F0033" w14:textId="77777777" w:rsidR="00A87101" w:rsidRDefault="007B5468" w:rsidP="00D27E64">
            <w:pPr>
              <w:ind w:right="545"/>
              <w:rPr>
                <w:sz w:val="20"/>
                <w:szCs w:val="20"/>
              </w:rPr>
            </w:pPr>
            <w:r>
              <w:rPr>
                <w:sz w:val="20"/>
              </w:rPr>
              <w:t>Version 1.0 7 juin 2018</w:t>
            </w:r>
          </w:p>
          <w:p w14:paraId="6F8FFF51" w14:textId="3AAE771C" w:rsidR="007B5468" w:rsidRDefault="007B5468" w:rsidP="00D27E64">
            <w:pPr>
              <w:ind w:right="545"/>
              <w:rPr>
                <w:sz w:val="20"/>
                <w:szCs w:val="20"/>
              </w:rPr>
            </w:pPr>
            <w:r>
              <w:rPr>
                <w:sz w:val="20"/>
              </w:rPr>
              <w:t>Version 2.0 14 juin 2018</w:t>
            </w:r>
          </w:p>
        </w:tc>
      </w:tr>
    </w:tbl>
    <w:bookmarkEnd w:id="1"/>
    <w:p w14:paraId="14C6D19E" w14:textId="56BB43D3" w:rsidR="00373FD7" w:rsidRPr="00373FD7" w:rsidRDefault="00373FD7" w:rsidP="00373FD7">
      <w:pPr>
        <w:pStyle w:val="Heading1"/>
        <w:ind w:right="545"/>
        <w:rPr>
          <w:sz w:val="24"/>
          <w:szCs w:val="24"/>
        </w:rPr>
      </w:pPr>
      <w:r>
        <w:lastRenderedPageBreak/>
        <w:t>PIÈCE JOINTE A : Résumé de l’activité inter-sessions du GAC : PDP 3.0 de la GNSO (</w:t>
      </w:r>
      <w:r>
        <w:rPr>
          <w:sz w:val="24"/>
        </w:rPr>
        <w:t>distribué au GAC le 25 mai 2018)</w:t>
      </w:r>
    </w:p>
    <w:p w14:paraId="2A64585E" w14:textId="77777777" w:rsidR="00373FD7" w:rsidRDefault="00373FD7" w:rsidP="00373FD7">
      <w:pPr>
        <w:pStyle w:val="Heading2"/>
      </w:pPr>
      <w:r>
        <w:t>Problématiques</w:t>
      </w:r>
    </w:p>
    <w:p w14:paraId="669EC9F0" w14:textId="77777777" w:rsidR="00373FD7" w:rsidRDefault="00373FD7" w:rsidP="00A5021B">
      <w:pPr>
        <w:pStyle w:val="ListParagraph"/>
        <w:numPr>
          <w:ilvl w:val="0"/>
          <w:numId w:val="10"/>
        </w:numPr>
        <w:spacing w:before="100" w:beforeAutospacing="1" w:after="240"/>
        <w:ind w:right="545"/>
        <w:rPr>
          <w:szCs w:val="20"/>
        </w:rPr>
      </w:pPr>
      <w:r>
        <w:t>Problèmes avec l’élaboration de politiques de l’ICANN pour les domaines génériques de premier niveau (gTLD).</w:t>
      </w:r>
    </w:p>
    <w:p w14:paraId="74B5FA70" w14:textId="77777777" w:rsidR="00373FD7" w:rsidRDefault="00373FD7" w:rsidP="00A5021B">
      <w:pPr>
        <w:pStyle w:val="ListParagraph"/>
        <w:numPr>
          <w:ilvl w:val="0"/>
          <w:numId w:val="10"/>
        </w:numPr>
        <w:spacing w:before="100" w:beforeAutospacing="1" w:after="240"/>
        <w:ind w:right="545"/>
        <w:rPr>
          <w:szCs w:val="20"/>
        </w:rPr>
      </w:pPr>
      <w:r>
        <w:t>Possibles améliorations envisagées par l’Organisation de soutien aux extensions génériques (GNSO).</w:t>
      </w:r>
    </w:p>
    <w:p w14:paraId="04559D5E" w14:textId="77777777" w:rsidR="00373FD7" w:rsidRPr="00927C0B" w:rsidRDefault="00373FD7" w:rsidP="00A5021B">
      <w:pPr>
        <w:pStyle w:val="ListParagraph"/>
        <w:numPr>
          <w:ilvl w:val="0"/>
          <w:numId w:val="10"/>
        </w:numPr>
        <w:spacing w:before="100" w:beforeAutospacing="1" w:after="240"/>
        <w:ind w:right="545"/>
        <w:rPr>
          <w:szCs w:val="20"/>
        </w:rPr>
      </w:pPr>
      <w:r>
        <w:t>Possible contribution du GAC à ce processus.</w:t>
      </w:r>
    </w:p>
    <w:p w14:paraId="6382CA3B" w14:textId="77777777" w:rsidR="00373FD7" w:rsidRDefault="00373FD7" w:rsidP="00373FD7">
      <w:pPr>
        <w:pStyle w:val="Heading2"/>
      </w:pPr>
      <w:r>
        <w:t>Élaboration de politiques pour les gTLD</w:t>
      </w:r>
    </w:p>
    <w:p w14:paraId="2B952448" w14:textId="77777777" w:rsidR="00373FD7" w:rsidRDefault="00373FD7" w:rsidP="00373FD7">
      <w:pPr>
        <w:spacing w:line="276" w:lineRule="auto"/>
        <w:jc w:val="both"/>
        <w:rPr>
          <w:rFonts w:cs="Calibri"/>
          <w:color w:val="000000"/>
          <w:sz w:val="20"/>
          <w:szCs w:val="20"/>
        </w:rPr>
      </w:pPr>
      <w:r>
        <w:rPr>
          <w:color w:val="000000"/>
          <w:sz w:val="20"/>
        </w:rPr>
        <w:t xml:space="preserve">L’élaboration des politiques de l’ICANN tend à se concentrer sur les gTLD. Ces politiques sont appliquées à un niveau global, contrairement au cas des ccTLD où les politiques sont dans une grande mesure élaborées au niveau local. Les statuts constitutifs de l’ICANN et les arrangements structurels définissent un processus d’élaboration de politiques pour les gTLD qui est géré par la GNSO à travers des groupes de travail. </w:t>
      </w:r>
    </w:p>
    <w:p w14:paraId="139DB8BF" w14:textId="77777777" w:rsidR="00373FD7" w:rsidRDefault="00373FD7" w:rsidP="00373FD7">
      <w:pPr>
        <w:spacing w:line="276" w:lineRule="auto"/>
        <w:jc w:val="both"/>
        <w:rPr>
          <w:rFonts w:cs="Calibri"/>
          <w:color w:val="000000"/>
          <w:sz w:val="20"/>
          <w:szCs w:val="20"/>
        </w:rPr>
      </w:pPr>
    </w:p>
    <w:p w14:paraId="24C54204" w14:textId="77777777" w:rsidR="00373FD7" w:rsidRDefault="00373FD7" w:rsidP="00373FD7">
      <w:pPr>
        <w:spacing w:line="276" w:lineRule="auto"/>
        <w:jc w:val="both"/>
        <w:rPr>
          <w:rFonts w:cs="Calibri"/>
          <w:color w:val="000000"/>
          <w:sz w:val="20"/>
          <w:szCs w:val="20"/>
        </w:rPr>
      </w:pPr>
      <w:r>
        <w:rPr>
          <w:color w:val="000000"/>
          <w:sz w:val="20"/>
        </w:rPr>
        <w:t xml:space="preserve">Le conseil de la GNSO a lancé un processus de révision de l’efficience et l’efficacité de la GNSO et le personnel de l’ICANN a préparé un </w:t>
      </w:r>
      <w:hyperlink r:id="rId13">
        <w:r>
          <w:rPr>
            <w:rStyle w:val="Hyperlink"/>
            <w:sz w:val="20"/>
          </w:rPr>
          <w:t>document de discussion</w:t>
        </w:r>
      </w:hyperlink>
      <w:r>
        <w:rPr>
          <w:color w:val="000000"/>
          <w:sz w:val="20"/>
        </w:rPr>
        <w:t xml:space="preserve"> (« PDP 3.0 ») devant être pris en considération par les diverses unités constitutives de la GNSO et des groupes de parties prenantes.</w:t>
      </w:r>
    </w:p>
    <w:p w14:paraId="3E8269FF" w14:textId="77777777" w:rsidR="00373FD7" w:rsidRDefault="00373FD7" w:rsidP="00373FD7">
      <w:pPr>
        <w:spacing w:line="276" w:lineRule="auto"/>
        <w:jc w:val="both"/>
        <w:rPr>
          <w:rFonts w:cs="Calibri"/>
          <w:color w:val="000000"/>
          <w:sz w:val="20"/>
          <w:szCs w:val="20"/>
        </w:rPr>
      </w:pPr>
    </w:p>
    <w:p w14:paraId="2C292D9C" w14:textId="77777777" w:rsidR="00373FD7" w:rsidRDefault="00373FD7" w:rsidP="00373FD7">
      <w:pPr>
        <w:spacing w:line="276" w:lineRule="auto"/>
        <w:jc w:val="both"/>
        <w:rPr>
          <w:rFonts w:cs="Calibri"/>
          <w:color w:val="000000"/>
          <w:sz w:val="20"/>
          <w:szCs w:val="20"/>
        </w:rPr>
      </w:pPr>
      <w:r>
        <w:rPr>
          <w:color w:val="000000"/>
          <w:sz w:val="20"/>
        </w:rPr>
        <w:t>Le document identifie plusieurs défis à la structure actuelle du groupe de travail sur le PDP :</w:t>
      </w:r>
    </w:p>
    <w:p w14:paraId="42C78892" w14:textId="77777777" w:rsidR="00373FD7" w:rsidRPr="006C4A48" w:rsidRDefault="00373FD7" w:rsidP="00373FD7">
      <w:pPr>
        <w:spacing w:line="276" w:lineRule="auto"/>
        <w:jc w:val="both"/>
        <w:rPr>
          <w:rFonts w:cs="Calibri"/>
          <w:color w:val="000000"/>
          <w:sz w:val="20"/>
          <w:szCs w:val="20"/>
        </w:rPr>
      </w:pPr>
    </w:p>
    <w:p w14:paraId="7BCF2D24" w14:textId="77777777" w:rsidR="00373FD7" w:rsidRPr="004B6515" w:rsidRDefault="00373FD7" w:rsidP="00A5021B">
      <w:pPr>
        <w:numPr>
          <w:ilvl w:val="0"/>
          <w:numId w:val="11"/>
        </w:numPr>
        <w:spacing w:line="276" w:lineRule="auto"/>
        <w:jc w:val="both"/>
        <w:rPr>
          <w:rFonts w:cs="Calibri"/>
          <w:color w:val="000000"/>
          <w:sz w:val="20"/>
          <w:szCs w:val="20"/>
        </w:rPr>
      </w:pPr>
      <w:r>
        <w:rPr>
          <w:color w:val="000000"/>
          <w:sz w:val="20"/>
        </w:rPr>
        <w:t>Dynamique du groupe de travail sur le PDP : Les groupes de travail deviennent de plus en plus grands, mais l’effort entre les participants est inégal : il y a moins d’efforts vers des objectifs communs, le « consensus par épuisement » résulte de l’absence de motivations pour finaliser le travail ; trouver un équilibre entre les résultats des réunions du groupe de travail et l’e-mail, chat, etc. est un problème.</w:t>
      </w:r>
    </w:p>
    <w:p w14:paraId="5603B1B1" w14:textId="77777777" w:rsidR="00373FD7" w:rsidRPr="006C4A48" w:rsidRDefault="00373FD7" w:rsidP="00373FD7">
      <w:pPr>
        <w:spacing w:line="276" w:lineRule="auto"/>
        <w:ind w:left="720"/>
        <w:jc w:val="both"/>
        <w:rPr>
          <w:rFonts w:cs="Calibri"/>
          <w:color w:val="000000"/>
          <w:sz w:val="20"/>
          <w:szCs w:val="20"/>
        </w:rPr>
      </w:pPr>
    </w:p>
    <w:p w14:paraId="66C4B7A1" w14:textId="77777777" w:rsidR="00373FD7" w:rsidRPr="004B6515" w:rsidRDefault="00373FD7" w:rsidP="00A5021B">
      <w:pPr>
        <w:numPr>
          <w:ilvl w:val="0"/>
          <w:numId w:val="11"/>
        </w:numPr>
        <w:spacing w:line="276" w:lineRule="auto"/>
        <w:jc w:val="both"/>
        <w:rPr>
          <w:rFonts w:cs="Calibri"/>
          <w:color w:val="000000"/>
          <w:sz w:val="20"/>
          <w:szCs w:val="20"/>
        </w:rPr>
      </w:pPr>
      <w:r>
        <w:rPr>
          <w:color w:val="000000"/>
          <w:sz w:val="20"/>
        </w:rPr>
        <w:t>Dirigeants du groupe de travail - les exigences en matière de compétences et d’attentes augmentent constamment, de même que les exigences en matière de temps.</w:t>
      </w:r>
    </w:p>
    <w:p w14:paraId="23C57DA5" w14:textId="77777777" w:rsidR="00373FD7" w:rsidRPr="006C4A48" w:rsidRDefault="00373FD7" w:rsidP="00373FD7">
      <w:pPr>
        <w:spacing w:line="276" w:lineRule="auto"/>
        <w:jc w:val="both"/>
        <w:rPr>
          <w:rFonts w:cs="Calibri"/>
          <w:color w:val="000000"/>
          <w:sz w:val="20"/>
          <w:szCs w:val="20"/>
        </w:rPr>
      </w:pPr>
    </w:p>
    <w:p w14:paraId="6A71FAD4" w14:textId="77777777" w:rsidR="00373FD7" w:rsidRPr="004B6515" w:rsidRDefault="00373FD7" w:rsidP="00A5021B">
      <w:pPr>
        <w:numPr>
          <w:ilvl w:val="0"/>
          <w:numId w:val="11"/>
        </w:numPr>
        <w:spacing w:line="276" w:lineRule="auto"/>
        <w:jc w:val="both"/>
        <w:rPr>
          <w:rFonts w:cs="Calibri"/>
          <w:color w:val="000000"/>
          <w:sz w:val="20"/>
          <w:szCs w:val="20"/>
        </w:rPr>
      </w:pPr>
      <w:r>
        <w:rPr>
          <w:color w:val="000000"/>
          <w:sz w:val="20"/>
        </w:rPr>
        <w:t xml:space="preserve">Complexité du thème traité : Il y a des interdépendances avec d’autres travaux à travers l’ICANN ; préparer les appels, suivre des discussions complexes et rédiger les documents résultants sont des problèmes. </w:t>
      </w:r>
    </w:p>
    <w:p w14:paraId="31B099B1" w14:textId="77777777" w:rsidR="00373FD7" w:rsidRPr="006C4A48" w:rsidRDefault="00373FD7" w:rsidP="00373FD7">
      <w:pPr>
        <w:spacing w:line="276" w:lineRule="auto"/>
        <w:jc w:val="both"/>
        <w:rPr>
          <w:rFonts w:cs="Calibri"/>
          <w:color w:val="000000"/>
          <w:sz w:val="20"/>
          <w:szCs w:val="20"/>
        </w:rPr>
      </w:pPr>
    </w:p>
    <w:p w14:paraId="5F04ECBF" w14:textId="77777777" w:rsidR="00373FD7" w:rsidRPr="004B6515" w:rsidRDefault="00373FD7" w:rsidP="00A5021B">
      <w:pPr>
        <w:numPr>
          <w:ilvl w:val="0"/>
          <w:numId w:val="11"/>
        </w:numPr>
        <w:spacing w:line="276" w:lineRule="auto"/>
        <w:jc w:val="both"/>
        <w:rPr>
          <w:rFonts w:cs="Calibri"/>
          <w:color w:val="000000"/>
          <w:sz w:val="20"/>
          <w:szCs w:val="20"/>
        </w:rPr>
      </w:pPr>
      <w:r>
        <w:rPr>
          <w:color w:val="000000"/>
          <w:sz w:val="20"/>
        </w:rPr>
        <w:t>Construction du consensus - il s’agit d’un art qui peut être enseigné mais qui ne l’est pas en ce moment.</w:t>
      </w:r>
    </w:p>
    <w:p w14:paraId="5AFB463C" w14:textId="77777777" w:rsidR="00373FD7" w:rsidRPr="006C4A48" w:rsidRDefault="00373FD7" w:rsidP="00373FD7">
      <w:pPr>
        <w:spacing w:line="276" w:lineRule="auto"/>
        <w:jc w:val="both"/>
        <w:rPr>
          <w:rFonts w:cs="Calibri"/>
          <w:color w:val="000000"/>
          <w:sz w:val="20"/>
          <w:szCs w:val="20"/>
        </w:rPr>
      </w:pPr>
    </w:p>
    <w:p w14:paraId="74C24662" w14:textId="77777777" w:rsidR="00373FD7" w:rsidRPr="004B6515" w:rsidRDefault="00373FD7" w:rsidP="00A5021B">
      <w:pPr>
        <w:numPr>
          <w:ilvl w:val="0"/>
          <w:numId w:val="11"/>
        </w:numPr>
        <w:spacing w:line="276" w:lineRule="auto"/>
        <w:jc w:val="both"/>
        <w:rPr>
          <w:rFonts w:cs="Calibri"/>
          <w:color w:val="000000"/>
          <w:sz w:val="20"/>
          <w:szCs w:val="20"/>
        </w:rPr>
      </w:pPr>
      <w:r>
        <w:rPr>
          <w:color w:val="000000"/>
          <w:sz w:val="20"/>
        </w:rPr>
        <w:t>Rôle du conseil de la GNSO - c’est toujours un défi, car la GNSO est une fédération de groupes et d’intérêts dont les positions sont souvent divergentes.</w:t>
      </w:r>
    </w:p>
    <w:p w14:paraId="5C130E98" w14:textId="77777777" w:rsidR="00373FD7" w:rsidRPr="004B6515" w:rsidRDefault="00373FD7" w:rsidP="00373FD7">
      <w:pPr>
        <w:spacing w:line="276" w:lineRule="auto"/>
        <w:jc w:val="both"/>
        <w:rPr>
          <w:rFonts w:cs="Calibri"/>
          <w:color w:val="000000"/>
          <w:sz w:val="20"/>
          <w:szCs w:val="20"/>
        </w:rPr>
      </w:pPr>
    </w:p>
    <w:p w14:paraId="6223B3C2" w14:textId="77777777" w:rsidR="00373FD7" w:rsidRDefault="00373FD7" w:rsidP="00373FD7">
      <w:pPr>
        <w:pStyle w:val="Heading2"/>
      </w:pPr>
      <w:r>
        <w:lastRenderedPageBreak/>
        <w:t>Améliorations possibles</w:t>
      </w:r>
    </w:p>
    <w:p w14:paraId="0EB411D1" w14:textId="77777777" w:rsidR="00373FD7" w:rsidRDefault="00373FD7" w:rsidP="00373FD7">
      <w:pPr>
        <w:pStyle w:val="BodyText"/>
        <w:rPr>
          <w:szCs w:val="20"/>
        </w:rPr>
      </w:pPr>
      <w:r>
        <w:t>Le document de discussion propose également un certain nombre d’« améliorations progressives potentielles ». Celles-ci sont détaillées dans le document, et peuvent être résumées comme suit :</w:t>
      </w:r>
    </w:p>
    <w:p w14:paraId="2D1C2777" w14:textId="77777777" w:rsidR="00373FD7" w:rsidRPr="008427F8" w:rsidRDefault="00373FD7" w:rsidP="00373FD7">
      <w:pPr>
        <w:pStyle w:val="BodyText"/>
        <w:rPr>
          <w:b/>
          <w:szCs w:val="20"/>
        </w:rPr>
      </w:pPr>
      <w:r>
        <w:rPr>
          <w:b/>
        </w:rPr>
        <w:t>Mieux structurer les groupes de travail</w:t>
      </w:r>
    </w:p>
    <w:p w14:paraId="2C22BDF9" w14:textId="77777777" w:rsidR="00373FD7" w:rsidRDefault="00373FD7" w:rsidP="00A5021B">
      <w:pPr>
        <w:pStyle w:val="BodyText"/>
        <w:numPr>
          <w:ilvl w:val="0"/>
          <w:numId w:val="12"/>
        </w:numPr>
        <w:ind w:left="357" w:hanging="357"/>
        <w:rPr>
          <w:szCs w:val="20"/>
        </w:rPr>
      </w:pPr>
      <w:r>
        <w:t>Engagement formel des participants au début de la recherche de consensus et déclarations de leurs connaissances et de leurs compétences.</w:t>
      </w:r>
    </w:p>
    <w:p w14:paraId="4BDEC6B5" w14:textId="77777777" w:rsidR="00373FD7" w:rsidRPr="008427F8" w:rsidRDefault="00373FD7" w:rsidP="00A5021B">
      <w:pPr>
        <w:pStyle w:val="BodyText"/>
        <w:numPr>
          <w:ilvl w:val="0"/>
          <w:numId w:val="12"/>
        </w:numPr>
        <w:ind w:left="357" w:hanging="357"/>
        <w:rPr>
          <w:szCs w:val="20"/>
        </w:rPr>
      </w:pPr>
      <w:r>
        <w:t xml:space="preserve">Alternatives au modèle « ouvert à tous ». Par exemple, avoir des </w:t>
      </w:r>
      <w:r>
        <w:rPr>
          <w:color w:val="000000"/>
        </w:rPr>
        <w:t>membres désignés par les SO et AC + participants individuels  + observateurs individuels (semblable au modèle actuel du CCWG).</w:t>
      </w:r>
    </w:p>
    <w:p w14:paraId="3C79F202" w14:textId="77777777" w:rsidR="00373FD7" w:rsidRPr="008427F8" w:rsidRDefault="00373FD7" w:rsidP="00373FD7">
      <w:pPr>
        <w:pStyle w:val="BodyText"/>
        <w:rPr>
          <w:b/>
          <w:szCs w:val="20"/>
        </w:rPr>
      </w:pPr>
      <w:r>
        <w:rPr>
          <w:b/>
        </w:rPr>
        <w:t>Motivations pour améliorer la direction du groupe de travail</w:t>
      </w:r>
    </w:p>
    <w:p w14:paraId="2D4611EA" w14:textId="77777777" w:rsidR="00373FD7" w:rsidRPr="008427F8" w:rsidRDefault="00373FD7" w:rsidP="00A5021B">
      <w:pPr>
        <w:pStyle w:val="BodyText"/>
        <w:numPr>
          <w:ilvl w:val="0"/>
          <w:numId w:val="13"/>
        </w:numPr>
        <w:rPr>
          <w:szCs w:val="20"/>
        </w:rPr>
      </w:pPr>
      <w:r>
        <w:rPr>
          <w:color w:val="000000"/>
        </w:rPr>
        <w:t>Lignes directrices pour que les dirigeants du groupe de travail construisent le consensus et évitent la capture.</w:t>
      </w:r>
    </w:p>
    <w:p w14:paraId="742A1A04" w14:textId="77777777" w:rsidR="00373FD7" w:rsidRPr="002446F5" w:rsidRDefault="00373FD7" w:rsidP="00A5021B">
      <w:pPr>
        <w:pStyle w:val="BodyText"/>
        <w:numPr>
          <w:ilvl w:val="0"/>
          <w:numId w:val="13"/>
        </w:numPr>
        <w:rPr>
          <w:szCs w:val="20"/>
        </w:rPr>
      </w:pPr>
      <w:r>
        <w:rPr>
          <w:color w:val="000000"/>
        </w:rPr>
        <w:t>Description plus détaillée du travail pour les dirigeants du groupe.</w:t>
      </w:r>
    </w:p>
    <w:p w14:paraId="0E350DC2" w14:textId="77777777" w:rsidR="00373FD7" w:rsidRPr="008427F8" w:rsidRDefault="00373FD7" w:rsidP="00A5021B">
      <w:pPr>
        <w:pStyle w:val="BodyText"/>
        <w:numPr>
          <w:ilvl w:val="0"/>
          <w:numId w:val="13"/>
        </w:numPr>
        <w:rPr>
          <w:szCs w:val="20"/>
        </w:rPr>
      </w:pPr>
      <w:r>
        <w:rPr>
          <w:color w:val="000000"/>
        </w:rPr>
        <w:t>Évaluation régulière de la performance des présidents des groupes de travail.</w:t>
      </w:r>
    </w:p>
    <w:p w14:paraId="245D7A29" w14:textId="77777777" w:rsidR="00373FD7" w:rsidRPr="008427F8" w:rsidRDefault="00373FD7" w:rsidP="00373FD7">
      <w:pPr>
        <w:pStyle w:val="BodyText"/>
        <w:rPr>
          <w:rFonts w:cs="Calibri"/>
          <w:b/>
          <w:color w:val="000000"/>
          <w:szCs w:val="20"/>
        </w:rPr>
      </w:pPr>
      <w:r>
        <w:rPr>
          <w:b/>
          <w:color w:val="000000"/>
        </w:rPr>
        <w:t>Meilleure gestion des complexes sujets abordés</w:t>
      </w:r>
    </w:p>
    <w:p w14:paraId="31243097" w14:textId="77777777" w:rsidR="00373FD7" w:rsidRPr="008427F8" w:rsidRDefault="00373FD7" w:rsidP="00A5021B">
      <w:pPr>
        <w:pStyle w:val="BodyText"/>
        <w:numPr>
          <w:ilvl w:val="0"/>
          <w:numId w:val="14"/>
        </w:numPr>
        <w:rPr>
          <w:szCs w:val="20"/>
        </w:rPr>
      </w:pPr>
      <w:r>
        <w:rPr>
          <w:color w:val="000000"/>
        </w:rPr>
        <w:t>Création d’« équipes coopératives » parmi les membres plus actifs au sein des groupes de travail pour aider ceux ayant moins de possibilités d’assister à toutes les réunions.</w:t>
      </w:r>
    </w:p>
    <w:p w14:paraId="5468E573" w14:textId="77777777" w:rsidR="00373FD7" w:rsidRPr="008427F8" w:rsidRDefault="00373FD7" w:rsidP="00A5021B">
      <w:pPr>
        <w:pStyle w:val="BodyText"/>
        <w:numPr>
          <w:ilvl w:val="0"/>
          <w:numId w:val="14"/>
        </w:numPr>
        <w:rPr>
          <w:szCs w:val="20"/>
        </w:rPr>
      </w:pPr>
      <w:r>
        <w:rPr>
          <w:color w:val="000000"/>
        </w:rPr>
        <w:t>Mécanisme pour que les nouveaux arrivants observent et apprennent avant de participer aux PDP en cours.</w:t>
      </w:r>
    </w:p>
    <w:p w14:paraId="57374963" w14:textId="77777777" w:rsidR="00373FD7" w:rsidRPr="008427F8" w:rsidRDefault="00373FD7" w:rsidP="00373FD7">
      <w:pPr>
        <w:pStyle w:val="BodyText"/>
        <w:rPr>
          <w:rFonts w:cs="Calibri"/>
          <w:b/>
          <w:color w:val="000000"/>
          <w:szCs w:val="20"/>
        </w:rPr>
      </w:pPr>
      <w:r>
        <w:rPr>
          <w:b/>
          <w:color w:val="000000"/>
        </w:rPr>
        <w:t>Motivations pour la construction du consensus</w:t>
      </w:r>
    </w:p>
    <w:p w14:paraId="7F074848" w14:textId="77777777" w:rsidR="00373FD7" w:rsidRDefault="00373FD7" w:rsidP="00A5021B">
      <w:pPr>
        <w:pStyle w:val="BodyText"/>
        <w:numPr>
          <w:ilvl w:val="0"/>
          <w:numId w:val="15"/>
        </w:numPr>
        <w:rPr>
          <w:rFonts w:cs="Calibri"/>
          <w:color w:val="000000"/>
          <w:szCs w:val="20"/>
        </w:rPr>
      </w:pPr>
      <w:r>
        <w:rPr>
          <w:color w:val="000000"/>
        </w:rPr>
        <w:t>Fournir plus de directives aux groupes de travail en matière de prise de décisions par consensus et de règlement de litiges.</w:t>
      </w:r>
    </w:p>
    <w:p w14:paraId="556CF2E2" w14:textId="77777777" w:rsidR="00373FD7" w:rsidRPr="004B6515" w:rsidRDefault="00373FD7" w:rsidP="00A5021B">
      <w:pPr>
        <w:pStyle w:val="BodyText"/>
        <w:numPr>
          <w:ilvl w:val="0"/>
          <w:numId w:val="15"/>
        </w:numPr>
        <w:rPr>
          <w:rFonts w:cs="Calibri"/>
          <w:color w:val="000000"/>
          <w:szCs w:val="20"/>
        </w:rPr>
      </w:pPr>
      <w:r>
        <w:rPr>
          <w:color w:val="000000"/>
        </w:rPr>
        <w:t>Clarifier les différentes positions des participants au tout début pour identifier les points de coopération.</w:t>
      </w:r>
    </w:p>
    <w:p w14:paraId="4FAEA456" w14:textId="77777777" w:rsidR="00373FD7" w:rsidRDefault="00373FD7" w:rsidP="00373FD7">
      <w:pPr>
        <w:pStyle w:val="Heading2"/>
      </w:pPr>
      <w:r>
        <w:t>Collaboration possible du GAC</w:t>
      </w:r>
    </w:p>
    <w:p w14:paraId="79E36815" w14:textId="77777777" w:rsidR="00373FD7" w:rsidRDefault="00373FD7" w:rsidP="00373FD7">
      <w:pPr>
        <w:widowControl w:val="0"/>
        <w:autoSpaceDE w:val="0"/>
        <w:autoSpaceDN w:val="0"/>
        <w:adjustRightInd w:val="0"/>
        <w:spacing w:after="200" w:line="276" w:lineRule="auto"/>
        <w:ind w:right="545"/>
        <w:jc w:val="both"/>
        <w:rPr>
          <w:rFonts w:eastAsia="Calibri" w:cs="Century Gothic"/>
          <w:sz w:val="20"/>
          <w:szCs w:val="20"/>
        </w:rPr>
      </w:pPr>
      <w:r>
        <w:rPr>
          <w:sz w:val="20"/>
        </w:rPr>
        <w:t>Il n’est pas encore clair si d’autres SO et AC auront l’opportunité formelle de faire des commentaires sur le document PDP 3.0. Toutefois, le GAC pourrait profiter de sa rencontre avec le conseil de la GNSO lors de la réunion ICANN 62 pour poursuivre le traitement des points de discussion suggérés :</w:t>
      </w:r>
    </w:p>
    <w:p w14:paraId="241CDC9A" w14:textId="77777777" w:rsidR="00373FD7" w:rsidRDefault="00373FD7" w:rsidP="00A5021B">
      <w:pPr>
        <w:pStyle w:val="ListParagraph"/>
        <w:widowControl w:val="0"/>
        <w:numPr>
          <w:ilvl w:val="0"/>
          <w:numId w:val="8"/>
        </w:numPr>
        <w:autoSpaceDE w:val="0"/>
        <w:autoSpaceDN w:val="0"/>
        <w:adjustRightInd w:val="0"/>
        <w:ind w:right="545"/>
        <w:rPr>
          <w:rFonts w:cs="Century Gothic"/>
          <w:szCs w:val="20"/>
        </w:rPr>
      </w:pPr>
      <w:r>
        <w:t>Les membres du GAC considèrent que le document est opportun et utile.</w:t>
      </w:r>
    </w:p>
    <w:p w14:paraId="0247B3E0" w14:textId="77777777" w:rsidR="00373FD7" w:rsidRDefault="00373FD7" w:rsidP="00A5021B">
      <w:pPr>
        <w:pStyle w:val="ListParagraph"/>
        <w:widowControl w:val="0"/>
        <w:numPr>
          <w:ilvl w:val="0"/>
          <w:numId w:val="8"/>
        </w:numPr>
        <w:autoSpaceDE w:val="0"/>
        <w:autoSpaceDN w:val="0"/>
        <w:adjustRightInd w:val="0"/>
        <w:ind w:right="545"/>
        <w:rPr>
          <w:rFonts w:cs="Century Gothic"/>
          <w:szCs w:val="20"/>
        </w:rPr>
      </w:pPr>
      <w:r>
        <w:t>Compte tenu des interdépendances du travail de l’ICANN, il serait utile que les discussions sur les questions soulevées dans le document comprennent des participants autres que seulement les membres de la GNSO.</w:t>
      </w:r>
    </w:p>
    <w:p w14:paraId="13CC4722" w14:textId="77777777" w:rsidR="00373FD7" w:rsidRDefault="00373FD7" w:rsidP="00A5021B">
      <w:pPr>
        <w:pStyle w:val="ListParagraph"/>
        <w:widowControl w:val="0"/>
        <w:numPr>
          <w:ilvl w:val="0"/>
          <w:numId w:val="8"/>
        </w:numPr>
        <w:autoSpaceDE w:val="0"/>
        <w:autoSpaceDN w:val="0"/>
        <w:adjustRightInd w:val="0"/>
        <w:ind w:right="545"/>
        <w:rPr>
          <w:rFonts w:cs="Century Gothic"/>
          <w:szCs w:val="20"/>
        </w:rPr>
      </w:pPr>
      <w:r>
        <w:t>Le GAC reste attaché à la participation aux PDP dans la mesure où les questions de politique publique soient traitées.</w:t>
      </w:r>
    </w:p>
    <w:p w14:paraId="1ED1A405" w14:textId="77777777" w:rsidR="00373FD7" w:rsidRDefault="00373FD7" w:rsidP="00A5021B">
      <w:pPr>
        <w:pStyle w:val="ListParagraph"/>
        <w:widowControl w:val="0"/>
        <w:numPr>
          <w:ilvl w:val="0"/>
          <w:numId w:val="8"/>
        </w:numPr>
        <w:autoSpaceDE w:val="0"/>
        <w:autoSpaceDN w:val="0"/>
        <w:adjustRightInd w:val="0"/>
        <w:ind w:right="545"/>
        <w:rPr>
          <w:rFonts w:cs="Century Gothic"/>
          <w:szCs w:val="20"/>
        </w:rPr>
      </w:pPr>
      <w:r>
        <w:lastRenderedPageBreak/>
        <w:t>Un processus politique qui est déterminé effectivement par n’importe quel bénévole et/ou fait l’objet d’appels/réunions sera toujours un problème pour obtenir une expertise pertinente, mettre l’accent sur la résolution des problèmes et la gestion de projets simples, d’autant plus que le sujet traité devient plus complexe.</w:t>
      </w:r>
    </w:p>
    <w:p w14:paraId="6B8E14ED" w14:textId="77777777" w:rsidR="00373FD7" w:rsidRDefault="00373FD7" w:rsidP="00A5021B">
      <w:pPr>
        <w:pStyle w:val="ListParagraph"/>
        <w:widowControl w:val="0"/>
        <w:numPr>
          <w:ilvl w:val="0"/>
          <w:numId w:val="8"/>
        </w:numPr>
        <w:autoSpaceDE w:val="0"/>
        <w:autoSpaceDN w:val="0"/>
        <w:adjustRightInd w:val="0"/>
        <w:ind w:right="545"/>
        <w:rPr>
          <w:rFonts w:cs="Century Gothic"/>
          <w:szCs w:val="20"/>
        </w:rPr>
      </w:pPr>
      <w:r>
        <w:t>L’organisation de groupes de travail sur le PDP suivant le modèle du CCWG, avec des membres désignés des SO et AC pertinents et d’autres qui participent à titre individuel, encouragerait : (a) l’amélioration de la reddition de comptes, l’efficacité et la transparence ; (b) un véritable point de vue de l’ensemble de la communauté au sein des PDP ; et (c) des décisions plus éclairées et l’engagement du GAC avec les PDP.</w:t>
      </w:r>
    </w:p>
    <w:p w14:paraId="44C5C261" w14:textId="77777777" w:rsidR="00373FD7" w:rsidRPr="00DD6D45" w:rsidRDefault="00373FD7" w:rsidP="00A5021B">
      <w:pPr>
        <w:pStyle w:val="ListParagraph"/>
        <w:widowControl w:val="0"/>
        <w:numPr>
          <w:ilvl w:val="0"/>
          <w:numId w:val="8"/>
        </w:numPr>
        <w:autoSpaceDE w:val="0"/>
        <w:autoSpaceDN w:val="0"/>
        <w:adjustRightInd w:val="0"/>
        <w:ind w:right="545"/>
        <w:rPr>
          <w:rFonts w:cs="Century Gothic"/>
          <w:szCs w:val="20"/>
        </w:rPr>
      </w:pPr>
      <w:r>
        <w:t>Les mesures proposées dans le document pour une meilleure formation et des ressources pour les dirigeants et les participants au groupe de travail sont utiles et raisonnables, et pourraient s’appuyer sur le très bon soutien déjà offert par le personnel de la GNSO.</w:t>
      </w:r>
    </w:p>
    <w:p w14:paraId="71BEEDDC" w14:textId="77777777" w:rsidR="00373FD7" w:rsidRDefault="00373FD7" w:rsidP="00373FD7">
      <w:pPr>
        <w:widowControl w:val="0"/>
        <w:autoSpaceDE w:val="0"/>
        <w:autoSpaceDN w:val="0"/>
        <w:adjustRightInd w:val="0"/>
        <w:spacing w:after="200" w:line="276" w:lineRule="auto"/>
        <w:ind w:right="545"/>
        <w:jc w:val="both"/>
        <w:rPr>
          <w:rFonts w:eastAsia="Calibri"/>
          <w:sz w:val="20"/>
          <w:szCs w:val="22"/>
        </w:rPr>
      </w:pPr>
    </w:p>
    <w:p w14:paraId="44B7FCF8" w14:textId="77777777" w:rsidR="00373FD7" w:rsidRDefault="00373FD7" w:rsidP="00373FD7">
      <w:pPr>
        <w:pStyle w:val="Heading2"/>
      </w:pPr>
      <w:r>
        <w:t>Gestion des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373FD7" w:rsidRPr="003F43E3" w14:paraId="7DE31E75" w14:textId="77777777" w:rsidTr="00F755F2">
        <w:tc>
          <w:tcPr>
            <w:tcW w:w="3261" w:type="dxa"/>
            <w:vAlign w:val="center"/>
          </w:tcPr>
          <w:p w14:paraId="61708D3C" w14:textId="77777777" w:rsidR="00373FD7" w:rsidRPr="003F43E3" w:rsidRDefault="00373FD7" w:rsidP="00F755F2">
            <w:pPr>
              <w:ind w:right="-132"/>
              <w:rPr>
                <w:b/>
                <w:sz w:val="20"/>
                <w:szCs w:val="20"/>
              </w:rPr>
            </w:pPr>
            <w:r>
              <w:rPr>
                <w:b/>
                <w:sz w:val="20"/>
              </w:rPr>
              <w:t>Titre</w:t>
            </w:r>
          </w:p>
        </w:tc>
        <w:tc>
          <w:tcPr>
            <w:tcW w:w="5811" w:type="dxa"/>
            <w:vAlign w:val="center"/>
          </w:tcPr>
          <w:p w14:paraId="35E71A27" w14:textId="77777777" w:rsidR="00373FD7" w:rsidRPr="00EA3A02" w:rsidRDefault="00373FD7" w:rsidP="00F755F2">
            <w:pPr>
              <w:ind w:right="545"/>
              <w:rPr>
                <w:sz w:val="20"/>
                <w:szCs w:val="20"/>
              </w:rPr>
            </w:pPr>
            <w:r>
              <w:rPr>
                <w:sz w:val="20"/>
              </w:rPr>
              <w:t>PDP de la GNSO 3.0</w:t>
            </w:r>
          </w:p>
        </w:tc>
      </w:tr>
      <w:tr w:rsidR="00373FD7" w:rsidRPr="003F43E3" w14:paraId="115550A3" w14:textId="77777777" w:rsidTr="00F755F2">
        <w:tc>
          <w:tcPr>
            <w:tcW w:w="3261" w:type="dxa"/>
            <w:vAlign w:val="center"/>
          </w:tcPr>
          <w:p w14:paraId="0D147BF9" w14:textId="77777777" w:rsidR="00373FD7" w:rsidRPr="003F43E3" w:rsidRDefault="00373FD7" w:rsidP="00F755F2">
            <w:pPr>
              <w:ind w:right="-132"/>
              <w:rPr>
                <w:b/>
                <w:sz w:val="20"/>
                <w:szCs w:val="20"/>
              </w:rPr>
            </w:pPr>
            <w:r>
              <w:rPr>
                <w:b/>
                <w:sz w:val="20"/>
              </w:rPr>
              <w:t>Distribution</w:t>
            </w:r>
          </w:p>
        </w:tc>
        <w:tc>
          <w:tcPr>
            <w:tcW w:w="5811" w:type="dxa"/>
            <w:vAlign w:val="center"/>
          </w:tcPr>
          <w:p w14:paraId="65E4B088" w14:textId="77777777" w:rsidR="00373FD7" w:rsidRPr="003F43E3" w:rsidRDefault="00373FD7" w:rsidP="00F755F2">
            <w:pPr>
              <w:ind w:right="545"/>
              <w:rPr>
                <w:sz w:val="20"/>
                <w:szCs w:val="20"/>
              </w:rPr>
            </w:pPr>
            <w:r>
              <w:rPr>
                <w:sz w:val="20"/>
              </w:rPr>
              <w:t>Membres du GAC</w:t>
            </w:r>
          </w:p>
        </w:tc>
      </w:tr>
      <w:tr w:rsidR="00373FD7" w:rsidRPr="003F43E3" w14:paraId="3D4DA103" w14:textId="77777777" w:rsidTr="00F755F2">
        <w:tc>
          <w:tcPr>
            <w:tcW w:w="3261" w:type="dxa"/>
            <w:vAlign w:val="center"/>
          </w:tcPr>
          <w:p w14:paraId="11034107" w14:textId="77777777" w:rsidR="00373FD7" w:rsidRPr="003F43E3" w:rsidRDefault="00373FD7" w:rsidP="00F755F2">
            <w:pPr>
              <w:ind w:right="-132"/>
              <w:rPr>
                <w:b/>
                <w:sz w:val="20"/>
                <w:szCs w:val="20"/>
              </w:rPr>
            </w:pPr>
            <w:r>
              <w:rPr>
                <w:b/>
                <w:sz w:val="20"/>
              </w:rPr>
              <w:t>Date de distribution</w:t>
            </w:r>
          </w:p>
        </w:tc>
        <w:tc>
          <w:tcPr>
            <w:tcW w:w="5811" w:type="dxa"/>
            <w:vAlign w:val="center"/>
          </w:tcPr>
          <w:p w14:paraId="44E26BC8" w14:textId="77777777" w:rsidR="00373FD7" w:rsidRPr="003F43E3" w:rsidRDefault="00373FD7" w:rsidP="00F755F2">
            <w:pPr>
              <w:ind w:right="545"/>
              <w:rPr>
                <w:sz w:val="20"/>
                <w:szCs w:val="20"/>
              </w:rPr>
            </w:pPr>
            <w:r>
              <w:rPr>
                <w:sz w:val="20"/>
              </w:rPr>
              <w:t>25 mai 2018</w:t>
            </w:r>
          </w:p>
        </w:tc>
      </w:tr>
    </w:tbl>
    <w:p w14:paraId="0BD66522" w14:textId="3AF272B6" w:rsidR="002D63C1" w:rsidRDefault="002D63C1" w:rsidP="002D63C1">
      <w:pPr>
        <w:pStyle w:val="BodyText"/>
      </w:pPr>
    </w:p>
    <w:p w14:paraId="02279427" w14:textId="436B3C16" w:rsidR="002D63C1" w:rsidRDefault="002D63C1" w:rsidP="002D63C1">
      <w:pPr>
        <w:pStyle w:val="BodyText"/>
      </w:pPr>
    </w:p>
    <w:p w14:paraId="03ED0060" w14:textId="363407F7" w:rsidR="002D63C1" w:rsidRDefault="002D63C1" w:rsidP="002D63C1">
      <w:pPr>
        <w:pStyle w:val="BodyText"/>
      </w:pPr>
    </w:p>
    <w:p w14:paraId="05226534" w14:textId="13912089" w:rsidR="002D63C1" w:rsidRDefault="002D63C1" w:rsidP="002D63C1">
      <w:pPr>
        <w:pStyle w:val="BodyText"/>
      </w:pPr>
    </w:p>
    <w:p w14:paraId="4199D46D" w14:textId="45773D54" w:rsidR="002D63C1" w:rsidRDefault="002D63C1" w:rsidP="002D63C1">
      <w:pPr>
        <w:pStyle w:val="BodyText"/>
      </w:pPr>
    </w:p>
    <w:p w14:paraId="0A78904B" w14:textId="4E443961" w:rsidR="002D63C1" w:rsidRDefault="002D63C1" w:rsidP="002D63C1">
      <w:pPr>
        <w:pStyle w:val="BodyText"/>
      </w:pPr>
    </w:p>
    <w:p w14:paraId="2A5A178E" w14:textId="5D4669D7" w:rsidR="002D63C1" w:rsidRDefault="002D63C1" w:rsidP="002D63C1">
      <w:pPr>
        <w:pStyle w:val="BodyText"/>
      </w:pPr>
    </w:p>
    <w:p w14:paraId="71575357" w14:textId="3E252292" w:rsidR="002D63C1" w:rsidRDefault="002D63C1" w:rsidP="002D63C1">
      <w:pPr>
        <w:pStyle w:val="BodyText"/>
      </w:pPr>
    </w:p>
    <w:p w14:paraId="31AC1F85" w14:textId="3341FB0C" w:rsidR="002D63C1" w:rsidRDefault="002D63C1" w:rsidP="002D63C1">
      <w:pPr>
        <w:pStyle w:val="BodyText"/>
      </w:pPr>
    </w:p>
    <w:p w14:paraId="0548CB03" w14:textId="54A0E8C9" w:rsidR="002D63C1" w:rsidRDefault="002D63C1" w:rsidP="002D63C1">
      <w:pPr>
        <w:pStyle w:val="BodyText"/>
      </w:pPr>
    </w:p>
    <w:p w14:paraId="3C0F57CA" w14:textId="33A7A205" w:rsidR="002D63C1" w:rsidRDefault="002D63C1" w:rsidP="002D63C1">
      <w:pPr>
        <w:pStyle w:val="BodyText"/>
      </w:pPr>
    </w:p>
    <w:p w14:paraId="40FF7827" w14:textId="23B13DF2" w:rsidR="002D63C1" w:rsidRDefault="002D63C1" w:rsidP="002D63C1">
      <w:pPr>
        <w:pStyle w:val="BodyText"/>
      </w:pPr>
    </w:p>
    <w:p w14:paraId="20E7F43E" w14:textId="315CC61B" w:rsidR="002D63C1" w:rsidRPr="002D63C1" w:rsidRDefault="002D63C1" w:rsidP="002D63C1">
      <w:pPr>
        <w:pStyle w:val="BodyText"/>
      </w:pPr>
    </w:p>
    <w:sectPr w:rsidR="002D63C1" w:rsidRPr="002D63C1" w:rsidSect="007A174E">
      <w:headerReference w:type="default" r:id="rId14"/>
      <w:footerReference w:type="default" r:id="rId15"/>
      <w:headerReference w:type="first" r:id="rId16"/>
      <w:footerReference w:type="first" r:id="rId17"/>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D89F9" w14:textId="77777777" w:rsidR="00E35101" w:rsidRDefault="00E35101" w:rsidP="00A24449">
      <w:r>
        <w:separator/>
      </w:r>
    </w:p>
  </w:endnote>
  <w:endnote w:type="continuationSeparator" w:id="0">
    <w:p w14:paraId="666D7936" w14:textId="77777777" w:rsidR="00E35101" w:rsidRDefault="00E35101"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BCDB" w14:textId="77777777" w:rsidR="005E2480" w:rsidRDefault="005E2480" w:rsidP="002276FD">
    <w:pPr>
      <w:pStyle w:val="Footer"/>
      <w:ind w:left="-567" w:right="261"/>
    </w:pPr>
  </w:p>
  <w:p w14:paraId="230FF035" w14:textId="169A19D2" w:rsidR="005E2480" w:rsidRPr="00B026C8" w:rsidRDefault="005E2480" w:rsidP="00F85F5F">
    <w:pPr>
      <w:pBdr>
        <w:top w:val="single" w:sz="18" w:space="1" w:color="1F497D"/>
      </w:pBdr>
      <w:spacing w:before="240"/>
      <w:ind w:right="545"/>
      <w:rPr>
        <w:color w:val="00408E"/>
      </w:rPr>
    </w:pPr>
    <w:r>
      <w:tab/>
    </w:r>
    <w:r>
      <w:rPr>
        <w:color w:val="00408E"/>
        <w:sz w:val="16"/>
      </w:rPr>
      <w:t xml:space="preserve">                                                                                                                              </w:t>
    </w:r>
    <w:r>
      <w:tab/>
    </w:r>
    <w:r>
      <w:tab/>
    </w:r>
    <w:r>
      <w:tab/>
    </w:r>
    <w:r>
      <w:rPr>
        <w:color w:val="00408E"/>
        <w:sz w:val="16"/>
      </w:rPr>
      <w:t xml:space="preserve">Page </w:t>
    </w:r>
    <w:r w:rsidRPr="00B026C8">
      <w:rPr>
        <w:color w:val="00408E"/>
        <w:sz w:val="16"/>
        <w:szCs w:val="16"/>
      </w:rPr>
      <w:fldChar w:fldCharType="begin"/>
    </w:r>
    <w:r w:rsidRPr="00B026C8">
      <w:rPr>
        <w:color w:val="00408E"/>
        <w:sz w:val="16"/>
        <w:szCs w:val="16"/>
      </w:rPr>
      <w:instrText xml:space="preserve"> PAGE </w:instrText>
    </w:r>
    <w:r w:rsidRPr="00B026C8">
      <w:rPr>
        <w:color w:val="00408E"/>
        <w:sz w:val="16"/>
        <w:szCs w:val="16"/>
      </w:rPr>
      <w:fldChar w:fldCharType="separate"/>
    </w:r>
    <w:r w:rsidR="00AD6FC6">
      <w:rPr>
        <w:noProof/>
        <w:color w:val="00408E"/>
        <w:sz w:val="16"/>
        <w:szCs w:val="16"/>
      </w:rPr>
      <w:t>3</w:t>
    </w:r>
    <w:r w:rsidRPr="00B026C8">
      <w:rPr>
        <w:color w:val="00408E"/>
        <w:sz w:val="16"/>
        <w:szCs w:val="16"/>
      </w:rPr>
      <w:fldChar w:fldCharType="end"/>
    </w:r>
    <w:r>
      <w:rPr>
        <w:color w:val="00408E"/>
        <w:sz w:val="16"/>
      </w:rPr>
      <w:t xml:space="preserve"> sur </w:t>
    </w:r>
    <w:r w:rsidRPr="00B026C8">
      <w:rPr>
        <w:color w:val="00408E"/>
        <w:sz w:val="16"/>
        <w:szCs w:val="16"/>
      </w:rPr>
      <w:fldChar w:fldCharType="begin"/>
    </w:r>
    <w:r w:rsidRPr="00B026C8">
      <w:rPr>
        <w:color w:val="00408E"/>
        <w:sz w:val="16"/>
        <w:szCs w:val="16"/>
      </w:rPr>
      <w:instrText xml:space="preserve"> NUMPAGES  </w:instrText>
    </w:r>
    <w:r w:rsidRPr="00B026C8">
      <w:rPr>
        <w:color w:val="00408E"/>
        <w:sz w:val="16"/>
        <w:szCs w:val="16"/>
      </w:rPr>
      <w:fldChar w:fldCharType="separate"/>
    </w:r>
    <w:r w:rsidR="00AD6FC6">
      <w:rPr>
        <w:noProof/>
        <w:color w:val="00408E"/>
        <w:sz w:val="16"/>
        <w:szCs w:val="16"/>
      </w:rPr>
      <w:t>6</w:t>
    </w:r>
    <w:r w:rsidRPr="00B026C8">
      <w:rPr>
        <w:color w:val="00408E"/>
        <w:sz w:val="16"/>
        <w:szCs w:val="16"/>
      </w:rPr>
      <w:fldChar w:fldCharType="end"/>
    </w:r>
  </w:p>
  <w:p w14:paraId="357EE225" w14:textId="77777777" w:rsidR="005E2480" w:rsidRPr="000C0FD7" w:rsidRDefault="005E2480" w:rsidP="003D7A8D">
    <w:pPr>
      <w:pStyle w:val="Footer"/>
      <w:tabs>
        <w:tab w:val="clear" w:pos="9360"/>
        <w:tab w:val="right" w:pos="8931"/>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DCF7D" w14:textId="77777777" w:rsidR="005E2480" w:rsidRPr="00C2562C" w:rsidRDefault="005E2480" w:rsidP="00740F60">
    <w:pPr>
      <w:pBdr>
        <w:top w:val="single" w:sz="18" w:space="1" w:color="1F497D"/>
      </w:pBdr>
      <w:spacing w:before="240"/>
      <w:ind w:right="544"/>
      <w:rPr>
        <w:color w:val="00408E"/>
        <w:sz w:val="2"/>
        <w:szCs w:val="2"/>
      </w:rPr>
    </w:pPr>
  </w:p>
  <w:p w14:paraId="399DE240" w14:textId="77777777" w:rsidR="005E2480" w:rsidRPr="00EC7A0E" w:rsidRDefault="005E2480" w:rsidP="00740F60">
    <w:pPr>
      <w:pStyle w:val="NoSpacing"/>
      <w:ind w:right="544"/>
      <w:jc w:val="right"/>
      <w:rPr>
        <w:sz w:val="16"/>
        <w:szCs w:val="16"/>
        <w:lang w:val="en-US"/>
      </w:rPr>
    </w:pPr>
    <w:r w:rsidRPr="00EC7A0E">
      <w:rPr>
        <w:sz w:val="16"/>
        <w:lang w:val="en-US"/>
      </w:rPr>
      <w:t xml:space="preserve">203 Drummond Street, Carlton VIC 3053 </w:t>
    </w:r>
  </w:p>
  <w:p w14:paraId="78FD8431" w14:textId="77777777" w:rsidR="005E2480" w:rsidRPr="00EC7A0E" w:rsidRDefault="005E2480" w:rsidP="00740F60">
    <w:pPr>
      <w:pStyle w:val="NoSpacing"/>
      <w:ind w:right="544"/>
      <w:jc w:val="right"/>
      <w:rPr>
        <w:sz w:val="16"/>
        <w:szCs w:val="16"/>
        <w:lang w:val="en-US"/>
      </w:rPr>
    </w:pPr>
    <w:r w:rsidRPr="00EC7A0E">
      <w:rPr>
        <w:sz w:val="16"/>
        <w:lang w:val="en-US"/>
      </w:rPr>
      <w:t>03 9650 7222</w:t>
    </w:r>
  </w:p>
  <w:p w14:paraId="30C54EED" w14:textId="77777777" w:rsidR="005E2480" w:rsidRPr="00EC7A0E" w:rsidRDefault="005E2480" w:rsidP="00740F60">
    <w:pPr>
      <w:pStyle w:val="NoSpacing"/>
      <w:ind w:right="544"/>
      <w:jc w:val="right"/>
      <w:rPr>
        <w:sz w:val="16"/>
        <w:szCs w:val="16"/>
        <w:lang w:val="en-US"/>
      </w:rPr>
    </w:pPr>
    <w:r w:rsidRPr="00EC7A0E">
      <w:rPr>
        <w:sz w:val="16"/>
        <w:lang w:val="en-US"/>
      </w:rPr>
      <w:t xml:space="preserve">www.acig.com.au </w:t>
    </w:r>
  </w:p>
  <w:p w14:paraId="1C71AF25" w14:textId="77777777" w:rsidR="005E2480" w:rsidRPr="00EC7A0E" w:rsidRDefault="005E2480" w:rsidP="003D7A8D">
    <w:pPr>
      <w:pStyle w:val="Footer"/>
      <w:jc w:val="center"/>
      <w:rPr>
        <w:color w:val="00408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3A634" w14:textId="77777777" w:rsidR="00E35101" w:rsidRDefault="00E35101" w:rsidP="00A24449">
      <w:r>
        <w:separator/>
      </w:r>
    </w:p>
  </w:footnote>
  <w:footnote w:type="continuationSeparator" w:id="0">
    <w:p w14:paraId="00A75C0C" w14:textId="77777777" w:rsidR="00E35101" w:rsidRDefault="00E35101" w:rsidP="00A2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ABE2" w14:textId="1AF78A30" w:rsidR="005E2480" w:rsidRDefault="00EC7A0E" w:rsidP="002276FD">
    <w:pPr>
      <w:pStyle w:val="Header"/>
      <w:tabs>
        <w:tab w:val="clear" w:pos="4680"/>
        <w:tab w:val="clear" w:pos="9360"/>
      </w:tabs>
      <w:ind w:left="7920" w:right="-306" w:firstLine="444"/>
    </w:pPr>
    <w:r>
      <w:rPr>
        <w:noProof/>
        <w:lang w:bidi="ar-SA"/>
      </w:rPr>
      <mc:AlternateContent>
        <mc:Choice Requires="wps">
          <w:drawing>
            <wp:anchor distT="0" distB="0" distL="114300" distR="114300" simplePos="0" relativeHeight="251657728" behindDoc="1" locked="0" layoutInCell="1" allowOverlap="1" wp14:anchorId="56531041" wp14:editId="070BCFFF">
              <wp:simplePos x="0" y="0"/>
              <wp:positionH relativeFrom="column">
                <wp:posOffset>4294647</wp:posOffset>
              </wp:positionH>
              <wp:positionV relativeFrom="paragraph">
                <wp:posOffset>222689</wp:posOffset>
              </wp:positionV>
              <wp:extent cx="1583170" cy="29781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17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769CE" w14:textId="77777777" w:rsidR="005E2480" w:rsidRPr="00A12C22" w:rsidRDefault="005E2480" w:rsidP="00CD30A8">
                          <w:pPr>
                            <w:ind w:left="-142"/>
                            <w:rPr>
                              <w:rFonts w:ascii="Arial Narrow" w:hAnsi="Arial Narrow"/>
                              <w:color w:val="C00000"/>
                              <w:sz w:val="32"/>
                              <w:szCs w:val="32"/>
                            </w:rPr>
                          </w:pPr>
                          <w:r>
                            <w:rPr>
                              <w:rFonts w:ascii="Arial Narrow" w:hAnsi="Arial Narrow"/>
                              <w:color w:val="C00000"/>
                              <w:sz w:val="32"/>
                            </w:rPr>
                            <w:t>Secrétariat du GAC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31041" id="_x0000_t202" coordsize="21600,21600" o:spt="202" path="m,l,21600r21600,l21600,xe">
              <v:stroke joinstyle="miter"/>
              <v:path gradientshapeok="t" o:connecttype="rect"/>
            </v:shapetype>
            <v:shape id="Text Box 4" o:spid="_x0000_s1026" type="#_x0000_t202" style="position:absolute;left:0;text-align:left;margin-left:338.15pt;margin-top:17.55pt;width:124.65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9dOggIAAA8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" stroked="f">
              <v:textbox>
                <w:txbxContent>
                  <w:p w14:paraId="437769CE" w14:textId="77777777" w:rsidR="005E2480" w:rsidRPr="00A12C22" w:rsidRDefault="005E2480" w:rsidP="00CD30A8">
                    <w:pPr>
                      <w:ind w:left="-142"/>
                      <w:rPr>
                        <w:rFonts w:ascii="Arial Narrow" w:hAnsi="Arial Narrow"/>
                        <w:color w:val="C00000"/>
                        <w:sz w:val="32"/>
                        <w:szCs w:val="32"/>
                      </w:rPr>
                    </w:pPr>
                    <w:r>
                      <w:rPr>
                        <w:rFonts w:ascii="Arial Narrow" w:hAnsi="Arial Narrow"/>
                        <w:color w:val="C00000"/>
                        <w:sz w:val="32"/>
                      </w:rPr>
                      <w:t>Secrétariat du GAC</w:t>
                    </w:r>
                  </w:p>
                </w:txbxContent>
              </v:textbox>
            </v:shape>
          </w:pict>
        </mc:Fallback>
      </mc:AlternateContent>
    </w:r>
    <w:r w:rsidR="005E2480">
      <w:rPr>
        <w:noProof/>
        <w:lang w:bidi="ar-SA"/>
      </w:rPr>
      <w:drawing>
        <wp:inline distT="0" distB="0" distL="0" distR="0" wp14:anchorId="74B5324F" wp14:editId="2321CD16">
          <wp:extent cx="421005" cy="269875"/>
          <wp:effectExtent l="19050" t="0" r="0" b="0"/>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5E248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AD20" w14:textId="77777777" w:rsidR="005E2480" w:rsidRDefault="005E2480" w:rsidP="00C2562C">
    <w:pPr>
      <w:pStyle w:val="Header"/>
      <w:tabs>
        <w:tab w:val="clear" w:pos="9360"/>
      </w:tabs>
      <w:ind w:left="-851"/>
      <w:jc w:val="center"/>
    </w:pPr>
    <w:r>
      <w:rPr>
        <w:noProof/>
        <w:lang w:bidi="ar-SA"/>
      </w:rPr>
      <w:drawing>
        <wp:inline distT="0" distB="0" distL="0" distR="0" wp14:anchorId="58262EE7" wp14:editId="4BE24B81">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6580FA1"/>
    <w:multiLevelType w:val="multilevel"/>
    <w:tmpl w:val="6E78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83D08"/>
    <w:multiLevelType w:val="hybridMultilevel"/>
    <w:tmpl w:val="45D0A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37B83"/>
    <w:multiLevelType w:val="hybridMultilevel"/>
    <w:tmpl w:val="3A7040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C782F"/>
    <w:multiLevelType w:val="hybridMultilevel"/>
    <w:tmpl w:val="F5D44E6A"/>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5E13E7"/>
    <w:multiLevelType w:val="hybridMultilevel"/>
    <w:tmpl w:val="4D96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265CDC"/>
    <w:multiLevelType w:val="hybridMultilevel"/>
    <w:tmpl w:val="6EBA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22775"/>
    <w:multiLevelType w:val="hybridMultilevel"/>
    <w:tmpl w:val="C03C4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7E1DCB"/>
    <w:multiLevelType w:val="hybridMultilevel"/>
    <w:tmpl w:val="3B00D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7635FF"/>
    <w:multiLevelType w:val="hybridMultilevel"/>
    <w:tmpl w:val="6456A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7A6D33"/>
    <w:multiLevelType w:val="hybridMultilevel"/>
    <w:tmpl w:val="2296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14" w15:restartNumberingAfterBreak="0">
    <w:nsid w:val="79546BFA"/>
    <w:multiLevelType w:val="hybridMultilevel"/>
    <w:tmpl w:val="490C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50E51"/>
    <w:multiLevelType w:val="hybridMultilevel"/>
    <w:tmpl w:val="B5F873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13"/>
  </w:num>
  <w:num w:numId="5">
    <w:abstractNumId w:val="9"/>
  </w:num>
  <w:num w:numId="6">
    <w:abstractNumId w:val="15"/>
  </w:num>
  <w:num w:numId="7">
    <w:abstractNumId w:val="11"/>
  </w:num>
  <w:num w:numId="8">
    <w:abstractNumId w:val="14"/>
  </w:num>
  <w:num w:numId="9">
    <w:abstractNumId w:val="6"/>
  </w:num>
  <w:num w:numId="10">
    <w:abstractNumId w:val="8"/>
  </w:num>
  <w:num w:numId="11">
    <w:abstractNumId w:val="3"/>
  </w:num>
  <w:num w:numId="12">
    <w:abstractNumId w:val="10"/>
  </w:num>
  <w:num w:numId="13">
    <w:abstractNumId w:val="12"/>
  </w:num>
  <w:num w:numId="14">
    <w:abstractNumId w:val="7"/>
  </w:num>
  <w:num w:numId="15">
    <w:abstractNumId w:val="4"/>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1B6"/>
    <w:rsid w:val="0001582D"/>
    <w:rsid w:val="00017DDB"/>
    <w:rsid w:val="00020EA8"/>
    <w:rsid w:val="00023512"/>
    <w:rsid w:val="0002714F"/>
    <w:rsid w:val="000328A2"/>
    <w:rsid w:val="00076811"/>
    <w:rsid w:val="00083BC8"/>
    <w:rsid w:val="000964B7"/>
    <w:rsid w:val="000B4BF2"/>
    <w:rsid w:val="000C0FD7"/>
    <w:rsid w:val="000C5167"/>
    <w:rsid w:val="000C6B2E"/>
    <w:rsid w:val="00124BEE"/>
    <w:rsid w:val="00127856"/>
    <w:rsid w:val="001577F4"/>
    <w:rsid w:val="0016195D"/>
    <w:rsid w:val="00181EFF"/>
    <w:rsid w:val="001A63D6"/>
    <w:rsid w:val="001A7608"/>
    <w:rsid w:val="001B2ADD"/>
    <w:rsid w:val="001B337F"/>
    <w:rsid w:val="001C3B09"/>
    <w:rsid w:val="001D20DB"/>
    <w:rsid w:val="002110FA"/>
    <w:rsid w:val="00212B75"/>
    <w:rsid w:val="00215C62"/>
    <w:rsid w:val="002276FD"/>
    <w:rsid w:val="00250279"/>
    <w:rsid w:val="00273354"/>
    <w:rsid w:val="002A35B2"/>
    <w:rsid w:val="002C0BDE"/>
    <w:rsid w:val="002D63C1"/>
    <w:rsid w:val="0030182E"/>
    <w:rsid w:val="00327A1A"/>
    <w:rsid w:val="003308BB"/>
    <w:rsid w:val="003401B4"/>
    <w:rsid w:val="003643C4"/>
    <w:rsid w:val="003644DC"/>
    <w:rsid w:val="00364F2E"/>
    <w:rsid w:val="00373FD7"/>
    <w:rsid w:val="003961C1"/>
    <w:rsid w:val="003D3781"/>
    <w:rsid w:val="003D7A8D"/>
    <w:rsid w:val="003E134F"/>
    <w:rsid w:val="003E540D"/>
    <w:rsid w:val="00400344"/>
    <w:rsid w:val="00406CEE"/>
    <w:rsid w:val="00412A64"/>
    <w:rsid w:val="00416093"/>
    <w:rsid w:val="004256A5"/>
    <w:rsid w:val="00447B91"/>
    <w:rsid w:val="00454CBD"/>
    <w:rsid w:val="00466EC1"/>
    <w:rsid w:val="00482064"/>
    <w:rsid w:val="00482610"/>
    <w:rsid w:val="004837E2"/>
    <w:rsid w:val="00492E56"/>
    <w:rsid w:val="004A58B8"/>
    <w:rsid w:val="004C66BF"/>
    <w:rsid w:val="004D7546"/>
    <w:rsid w:val="004E22C7"/>
    <w:rsid w:val="004E2498"/>
    <w:rsid w:val="0051347B"/>
    <w:rsid w:val="0052213A"/>
    <w:rsid w:val="00570478"/>
    <w:rsid w:val="005736A1"/>
    <w:rsid w:val="00577F86"/>
    <w:rsid w:val="00580A87"/>
    <w:rsid w:val="00593EF7"/>
    <w:rsid w:val="005C169C"/>
    <w:rsid w:val="005E2480"/>
    <w:rsid w:val="005E2917"/>
    <w:rsid w:val="005E361F"/>
    <w:rsid w:val="00624AEC"/>
    <w:rsid w:val="00652018"/>
    <w:rsid w:val="006632C8"/>
    <w:rsid w:val="00671F6E"/>
    <w:rsid w:val="006735F6"/>
    <w:rsid w:val="0067792E"/>
    <w:rsid w:val="00683C6C"/>
    <w:rsid w:val="006C3931"/>
    <w:rsid w:val="006E3E83"/>
    <w:rsid w:val="00700CF9"/>
    <w:rsid w:val="00722431"/>
    <w:rsid w:val="0072423D"/>
    <w:rsid w:val="0072454B"/>
    <w:rsid w:val="00731C3E"/>
    <w:rsid w:val="00734DE5"/>
    <w:rsid w:val="00736DAD"/>
    <w:rsid w:val="00740F60"/>
    <w:rsid w:val="007670C2"/>
    <w:rsid w:val="00767678"/>
    <w:rsid w:val="00790818"/>
    <w:rsid w:val="007A174E"/>
    <w:rsid w:val="007B4236"/>
    <w:rsid w:val="007B5468"/>
    <w:rsid w:val="007C4AA0"/>
    <w:rsid w:val="007D04DE"/>
    <w:rsid w:val="007D32B7"/>
    <w:rsid w:val="007E309B"/>
    <w:rsid w:val="007F31B6"/>
    <w:rsid w:val="00815A76"/>
    <w:rsid w:val="00817EAC"/>
    <w:rsid w:val="008246F4"/>
    <w:rsid w:val="00827F77"/>
    <w:rsid w:val="00845857"/>
    <w:rsid w:val="00854588"/>
    <w:rsid w:val="008822A3"/>
    <w:rsid w:val="00882354"/>
    <w:rsid w:val="008B2849"/>
    <w:rsid w:val="008C4F95"/>
    <w:rsid w:val="008E434C"/>
    <w:rsid w:val="008F3B68"/>
    <w:rsid w:val="009123B6"/>
    <w:rsid w:val="00982B73"/>
    <w:rsid w:val="00984323"/>
    <w:rsid w:val="00984595"/>
    <w:rsid w:val="009876AD"/>
    <w:rsid w:val="0099631A"/>
    <w:rsid w:val="009B375D"/>
    <w:rsid w:val="009C77A8"/>
    <w:rsid w:val="00A07882"/>
    <w:rsid w:val="00A12C22"/>
    <w:rsid w:val="00A13403"/>
    <w:rsid w:val="00A24449"/>
    <w:rsid w:val="00A32E85"/>
    <w:rsid w:val="00A40DB0"/>
    <w:rsid w:val="00A5021B"/>
    <w:rsid w:val="00A660EB"/>
    <w:rsid w:val="00A6687B"/>
    <w:rsid w:val="00A86B36"/>
    <w:rsid w:val="00A87101"/>
    <w:rsid w:val="00AA0126"/>
    <w:rsid w:val="00AA7441"/>
    <w:rsid w:val="00AB62C3"/>
    <w:rsid w:val="00AC5490"/>
    <w:rsid w:val="00AC54BB"/>
    <w:rsid w:val="00AD1076"/>
    <w:rsid w:val="00AD6FC6"/>
    <w:rsid w:val="00AE263F"/>
    <w:rsid w:val="00AF4D4A"/>
    <w:rsid w:val="00B026C8"/>
    <w:rsid w:val="00B21330"/>
    <w:rsid w:val="00B22FE8"/>
    <w:rsid w:val="00B5189A"/>
    <w:rsid w:val="00B653A7"/>
    <w:rsid w:val="00B72177"/>
    <w:rsid w:val="00B72D49"/>
    <w:rsid w:val="00BA0533"/>
    <w:rsid w:val="00BF23E9"/>
    <w:rsid w:val="00C114D4"/>
    <w:rsid w:val="00C1188D"/>
    <w:rsid w:val="00C144AE"/>
    <w:rsid w:val="00C14EF2"/>
    <w:rsid w:val="00C21952"/>
    <w:rsid w:val="00C2562C"/>
    <w:rsid w:val="00C26F6D"/>
    <w:rsid w:val="00C3454E"/>
    <w:rsid w:val="00C50C2C"/>
    <w:rsid w:val="00C70CD9"/>
    <w:rsid w:val="00C908F7"/>
    <w:rsid w:val="00C9701E"/>
    <w:rsid w:val="00CB7A48"/>
    <w:rsid w:val="00CD0375"/>
    <w:rsid w:val="00CD24AC"/>
    <w:rsid w:val="00CD30A8"/>
    <w:rsid w:val="00CD540A"/>
    <w:rsid w:val="00CD57F8"/>
    <w:rsid w:val="00CD7113"/>
    <w:rsid w:val="00CF0606"/>
    <w:rsid w:val="00CF4236"/>
    <w:rsid w:val="00CF4E9A"/>
    <w:rsid w:val="00D01CBD"/>
    <w:rsid w:val="00D049CB"/>
    <w:rsid w:val="00D07C27"/>
    <w:rsid w:val="00D27857"/>
    <w:rsid w:val="00D41280"/>
    <w:rsid w:val="00D5733E"/>
    <w:rsid w:val="00D57B30"/>
    <w:rsid w:val="00D65E34"/>
    <w:rsid w:val="00D86EA8"/>
    <w:rsid w:val="00D93E66"/>
    <w:rsid w:val="00D9442D"/>
    <w:rsid w:val="00DA436F"/>
    <w:rsid w:val="00DA46B6"/>
    <w:rsid w:val="00DC0423"/>
    <w:rsid w:val="00DE2827"/>
    <w:rsid w:val="00DE621B"/>
    <w:rsid w:val="00DE7351"/>
    <w:rsid w:val="00DF5B00"/>
    <w:rsid w:val="00E016F8"/>
    <w:rsid w:val="00E120D2"/>
    <w:rsid w:val="00E21BC1"/>
    <w:rsid w:val="00E3060B"/>
    <w:rsid w:val="00E35101"/>
    <w:rsid w:val="00E366DB"/>
    <w:rsid w:val="00E57BDD"/>
    <w:rsid w:val="00E7196B"/>
    <w:rsid w:val="00E81209"/>
    <w:rsid w:val="00E9134A"/>
    <w:rsid w:val="00EA3A02"/>
    <w:rsid w:val="00EA7FAD"/>
    <w:rsid w:val="00EB1CAA"/>
    <w:rsid w:val="00EC2D85"/>
    <w:rsid w:val="00EC7A0E"/>
    <w:rsid w:val="00ED40DF"/>
    <w:rsid w:val="00EF5A3C"/>
    <w:rsid w:val="00F153B6"/>
    <w:rsid w:val="00F21D6A"/>
    <w:rsid w:val="00F4462E"/>
    <w:rsid w:val="00F46F4F"/>
    <w:rsid w:val="00F5058B"/>
    <w:rsid w:val="00F65E75"/>
    <w:rsid w:val="00F73DF4"/>
    <w:rsid w:val="00F85F5F"/>
    <w:rsid w:val="00F96D2C"/>
    <w:rsid w:val="00FD20E3"/>
    <w:rsid w:val="00FE741F"/>
    <w:rsid w:val="00FF47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CC8B76"/>
  <w15:docId w15:val="{38E19D73-4CD5-4DB7-9267-1550627F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alibri" w:hAnsi="Century Gothic" w:cs="Times New Roman"/>
        <w:lang w:val="fr-FR" w:eastAsia="fr-FR" w:bidi="fr-FR"/>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A3C"/>
    <w:rPr>
      <w:rFonts w:eastAsiaTheme="minorEastAsia" w:cstheme="minorBidi"/>
      <w:sz w:val="24"/>
      <w:szCs w:val="24"/>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rPr>
  </w:style>
  <w:style w:type="paragraph" w:styleId="Heading2">
    <w:name w:val="heading 2"/>
    <w:basedOn w:val="BodyText"/>
    <w:next w:val="BodyText"/>
    <w:link w:val="Heading2Char"/>
    <w:autoRedefine/>
    <w:uiPriority w:val="9"/>
    <w:unhideWhenUsed/>
    <w:qFormat/>
    <w:rsid w:val="00982B73"/>
    <w:pPr>
      <w:keepNext/>
      <w:keepLines/>
      <w:ind w:right="544"/>
      <w:outlineLvl w:val="1"/>
    </w:pPr>
    <w:rPr>
      <w:b/>
      <w:color w:val="1F4E79" w:themeColor="accent1" w:themeShade="80"/>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B73"/>
    <w:rPr>
      <w:b/>
      <w:color w:val="1F4E79" w:themeColor="accent1" w:themeShade="80"/>
      <w:sz w:val="24"/>
      <w:szCs w:val="24"/>
      <w:lang w:eastAsia="fr-FR"/>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b/>
      <w:bCs/>
      <w:sz w:val="28"/>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hAnsi="Century Gothic"/>
      <w:szCs w:val="22"/>
      <w:lang w:val="fr-FR"/>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eastAsia="Calibri"/>
      <w:sz w:val="20"/>
      <w:szCs w:val="22"/>
    </w:rPr>
  </w:style>
  <w:style w:type="character" w:customStyle="1" w:styleId="FooterChar">
    <w:name w:val="Footer Char"/>
    <w:basedOn w:val="DefaultParagraphFont"/>
    <w:link w:val="Footer"/>
    <w:uiPriority w:val="99"/>
    <w:rsid w:val="00A24449"/>
    <w:rPr>
      <w:rFonts w:ascii="Century Gothic" w:hAnsi="Century Gothic"/>
      <w:szCs w:val="22"/>
      <w:lang w:val="fr-FR"/>
    </w:rPr>
  </w:style>
  <w:style w:type="character" w:customStyle="1" w:styleId="Heading1Char">
    <w:name w:val="Heading 1 Char"/>
    <w:basedOn w:val="DefaultParagraphFont"/>
    <w:link w:val="Heading1"/>
    <w:uiPriority w:val="9"/>
    <w:rsid w:val="00CF4E9A"/>
    <w:rPr>
      <w:b/>
      <w:color w:val="00408E"/>
      <w:sz w:val="28"/>
      <w:szCs w:val="28"/>
      <w:lang w:val="fr-FR" w:eastAsia="fr-FR" w:bidi="fr-FR"/>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spacing w:after="200" w:line="276" w:lineRule="auto"/>
      <w:jc w:val="both"/>
    </w:pPr>
    <w:rPr>
      <w:szCs w:val="22"/>
    </w:rPr>
  </w:style>
  <w:style w:type="character" w:customStyle="1" w:styleId="BodyTextChar">
    <w:name w:val="Body Text Char"/>
    <w:basedOn w:val="DefaultParagraphFont"/>
    <w:link w:val="BodyText"/>
    <w:uiPriority w:val="99"/>
    <w:rsid w:val="004E22C7"/>
    <w:rPr>
      <w:szCs w:val="22"/>
      <w:lang w:val="fr-FR" w:eastAsia="fr-FR" w:bidi="fr-FR"/>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fr-FR"/>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fr-FR"/>
    </w:rPr>
  </w:style>
  <w:style w:type="character" w:customStyle="1" w:styleId="Heading4Char">
    <w:name w:val="Heading 4 Char"/>
    <w:basedOn w:val="DefaultParagraphFont"/>
    <w:link w:val="Heading4"/>
    <w:uiPriority w:val="9"/>
    <w:rsid w:val="004E22C7"/>
    <w:rPr>
      <w:color w:val="00408E"/>
      <w:szCs w:val="22"/>
      <w:lang w:val="fr-FR"/>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4"/>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eastAsia="Calibri"/>
      <w:sz w:val="20"/>
      <w:szCs w:val="22"/>
    </w:rPr>
  </w:style>
  <w:style w:type="paragraph" w:styleId="ListBullet3">
    <w:name w:val="List Bullet 3"/>
    <w:basedOn w:val="Normal"/>
    <w:uiPriority w:val="99"/>
    <w:unhideWhenUsed/>
    <w:rsid w:val="003961C1"/>
    <w:pPr>
      <w:numPr>
        <w:numId w:val="1"/>
      </w:numPr>
      <w:spacing w:after="200" w:line="276" w:lineRule="auto"/>
      <w:contextualSpacing/>
      <w:jc w:val="both"/>
    </w:pPr>
    <w:rPr>
      <w:rFonts w:eastAsia="Calibri"/>
      <w:sz w:val="20"/>
      <w:szCs w:val="22"/>
    </w:rPr>
  </w:style>
  <w:style w:type="paragraph" w:styleId="ListBullet4">
    <w:name w:val="List Bullet 4"/>
    <w:basedOn w:val="Normal"/>
    <w:uiPriority w:val="99"/>
    <w:unhideWhenUsed/>
    <w:rsid w:val="003961C1"/>
    <w:pPr>
      <w:numPr>
        <w:numId w:val="2"/>
      </w:numPr>
      <w:spacing w:after="200" w:line="276" w:lineRule="auto"/>
      <w:contextualSpacing/>
      <w:jc w:val="both"/>
    </w:pPr>
    <w:rPr>
      <w:rFonts w:eastAsia="Calibri"/>
      <w:sz w:val="20"/>
      <w:szCs w:val="22"/>
    </w:rPr>
  </w:style>
  <w:style w:type="paragraph" w:styleId="ListBullet5">
    <w:name w:val="List Bullet 5"/>
    <w:basedOn w:val="Normal"/>
    <w:uiPriority w:val="99"/>
    <w:unhideWhenUsed/>
    <w:rsid w:val="003961C1"/>
    <w:pPr>
      <w:numPr>
        <w:numId w:val="3"/>
      </w:numPr>
      <w:spacing w:after="200" w:line="276" w:lineRule="auto"/>
      <w:contextualSpacing/>
      <w:jc w:val="both"/>
    </w:pPr>
    <w:rPr>
      <w:rFonts w:eastAsia="Calibri"/>
      <w:sz w:val="20"/>
      <w:szCs w:val="22"/>
    </w:rPr>
  </w:style>
  <w:style w:type="paragraph" w:styleId="ListParagraph">
    <w:name w:val="List Paragraph"/>
    <w:basedOn w:val="Normal"/>
    <w:uiPriority w:val="34"/>
    <w:qFormat/>
    <w:rsid w:val="00C26F6D"/>
    <w:pPr>
      <w:spacing w:after="200" w:line="276" w:lineRule="auto"/>
      <w:ind w:left="720"/>
      <w:jc w:val="both"/>
    </w:pPr>
    <w:rPr>
      <w:rFonts w:eastAsia="Calibri"/>
      <w:sz w:val="20"/>
      <w:szCs w:val="22"/>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sz w:val="18"/>
    </w:rPr>
  </w:style>
  <w:style w:type="paragraph" w:styleId="NoSpacing">
    <w:name w:val="No Spacing"/>
    <w:uiPriority w:val="1"/>
    <w:qFormat/>
    <w:rsid w:val="00C2562C"/>
    <w:pPr>
      <w:jc w:val="both"/>
    </w:pPr>
    <w:rPr>
      <w:szCs w:val="22"/>
    </w:rPr>
  </w:style>
  <w:style w:type="paragraph" w:styleId="FootnoteText">
    <w:name w:val="footnote text"/>
    <w:basedOn w:val="Normal"/>
    <w:link w:val="FootnoteTextChar"/>
    <w:uiPriority w:val="99"/>
    <w:unhideWhenUsed/>
    <w:rsid w:val="00406CEE"/>
  </w:style>
  <w:style w:type="character" w:customStyle="1" w:styleId="FootnoteTextChar">
    <w:name w:val="Footnote Text Char"/>
    <w:basedOn w:val="DefaultParagraphFont"/>
    <w:link w:val="FootnoteText"/>
    <w:uiPriority w:val="99"/>
    <w:rsid w:val="00406CEE"/>
    <w:rPr>
      <w:rFonts w:ascii="Calibri" w:eastAsia="Times New Roma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hAnsi="Tahoma" w:cs="Tahoma"/>
      <w:sz w:val="16"/>
      <w:szCs w:val="16"/>
    </w:rPr>
  </w:style>
  <w:style w:type="character" w:customStyle="1" w:styleId="BalloonTextChar">
    <w:name w:val="Balloon Text Char"/>
    <w:basedOn w:val="DefaultParagraphFont"/>
    <w:link w:val="BalloonText"/>
    <w:uiPriority w:val="99"/>
    <w:semiHidden/>
    <w:rsid w:val="00406CEE"/>
    <w:rPr>
      <w:rFonts w:ascii="Tahoma" w:eastAsia="Times New Roman" w:hAnsi="Tahoma" w:cs="Tahoma"/>
      <w:sz w:val="16"/>
      <w:szCs w:val="16"/>
    </w:rPr>
  </w:style>
  <w:style w:type="character" w:customStyle="1" w:styleId="apple-converted-space">
    <w:name w:val="apple-converted-space"/>
    <w:basedOn w:val="DefaultParagraphFont"/>
    <w:rsid w:val="00EF5A3C"/>
  </w:style>
  <w:style w:type="character" w:styleId="Strong">
    <w:name w:val="Strong"/>
    <w:basedOn w:val="DefaultParagraphFont"/>
    <w:uiPriority w:val="22"/>
    <w:qFormat/>
    <w:rsid w:val="00EF5A3C"/>
    <w:rPr>
      <w:b/>
      <w:bCs/>
    </w:rPr>
  </w:style>
  <w:style w:type="character" w:styleId="FollowedHyperlink">
    <w:name w:val="FollowedHyperlink"/>
    <w:basedOn w:val="DefaultParagraphFont"/>
    <w:uiPriority w:val="99"/>
    <w:semiHidden/>
    <w:unhideWhenUsed/>
    <w:rsid w:val="00EF5A3C"/>
    <w:rPr>
      <w:color w:val="954F72" w:themeColor="followedHyperlink"/>
      <w:u w:val="single"/>
    </w:rPr>
  </w:style>
  <w:style w:type="paragraph" w:styleId="HTMLPreformatted">
    <w:name w:val="HTML Preformatted"/>
    <w:basedOn w:val="Normal"/>
    <w:link w:val="HTMLPreformattedChar"/>
    <w:uiPriority w:val="99"/>
    <w:semiHidden/>
    <w:unhideWhenUsed/>
    <w:rsid w:val="0076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HTMLPreformattedChar">
    <w:name w:val="HTML Preformatted Char"/>
    <w:basedOn w:val="DefaultParagraphFont"/>
    <w:link w:val="HTMLPreformatted"/>
    <w:uiPriority w:val="99"/>
    <w:semiHidden/>
    <w:rsid w:val="00767678"/>
    <w:rPr>
      <w:rFonts w:ascii="Courier" w:hAnsi="Courier" w:cs="Courier"/>
      <w:lang w:eastAsia="fr-FR"/>
    </w:rPr>
  </w:style>
  <w:style w:type="character" w:customStyle="1" w:styleId="UnresolvedMention1">
    <w:name w:val="Unresolved Mention1"/>
    <w:basedOn w:val="DefaultParagraphFont"/>
    <w:uiPriority w:val="99"/>
    <w:semiHidden/>
    <w:unhideWhenUsed/>
    <w:rsid w:val="00C14EF2"/>
    <w:rPr>
      <w:color w:val="808080"/>
      <w:shd w:val="clear" w:color="auto" w:fill="E6E6E6"/>
    </w:rPr>
  </w:style>
  <w:style w:type="paragraph" w:customStyle="1" w:styleId="p1">
    <w:name w:val="p1"/>
    <w:basedOn w:val="Normal"/>
    <w:rsid w:val="002D63C1"/>
    <w:rPr>
      <w:rFonts w:ascii="Calibri" w:hAnsi="Calibri" w:cs="Times New Roman"/>
      <w:sz w:val="17"/>
      <w:szCs w:val="17"/>
    </w:rPr>
  </w:style>
  <w:style w:type="paragraph" w:customStyle="1" w:styleId="LightList-Accent51">
    <w:name w:val="Light List - Accent 51"/>
    <w:basedOn w:val="Normal"/>
    <w:uiPriority w:val="34"/>
    <w:qFormat/>
    <w:rsid w:val="002D63C1"/>
    <w:pPr>
      <w:ind w:left="720"/>
      <w:contextualSpacing/>
    </w:pPr>
    <w:rPr>
      <w:rFonts w:ascii="Cambria" w:eastAsia="Cambria" w:hAnsi="Cambria" w:cs="Times New Roman"/>
    </w:rPr>
  </w:style>
  <w:style w:type="paragraph" w:styleId="NormalWeb">
    <w:name w:val="Normal (Web)"/>
    <w:basedOn w:val="Normal"/>
    <w:uiPriority w:val="99"/>
    <w:unhideWhenUsed/>
    <w:rsid w:val="002D63C1"/>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266965">
      <w:bodyDiv w:val="1"/>
      <w:marLeft w:val="0"/>
      <w:marRight w:val="0"/>
      <w:marTop w:val="0"/>
      <w:marBottom w:val="0"/>
      <w:divBdr>
        <w:top w:val="none" w:sz="0" w:space="0" w:color="auto"/>
        <w:left w:val="none" w:sz="0" w:space="0" w:color="auto"/>
        <w:bottom w:val="none" w:sz="0" w:space="0" w:color="auto"/>
        <w:right w:val="none" w:sz="0" w:space="0" w:color="auto"/>
      </w:divBdr>
    </w:div>
    <w:div w:id="6627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n.org/resources/pages/gtld-registration-data-specs-en" TargetMode="External"/><Relationship Id="rId13" Type="http://schemas.openxmlformats.org/officeDocument/2006/relationships/hyperlink" Target="https://mm.icann.org/pipermail/council/attachments/20180511/2435d825/GNSOPDP3.0-8May2018-000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m.icann.org/pipermail/counc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nso.icann.or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nso.icann.org/en/abou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nso.icann.org/en/index.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8225-D610-491A-93E9-D472B30B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11869</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LS Pros</cp:lastModifiedBy>
  <cp:revision>18</cp:revision>
  <cp:lastPrinted>2013-11-27T05:14:00Z</cp:lastPrinted>
  <dcterms:created xsi:type="dcterms:W3CDTF">2018-05-29T06:00:00Z</dcterms:created>
  <dcterms:modified xsi:type="dcterms:W3CDTF">2018-07-01T16:30:00Z</dcterms:modified>
</cp:coreProperties>
</file>